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0" w:type="auto"/>
        <w:tblLook w:val="0000" w:firstRow="0" w:lastRow="0" w:firstColumn="0" w:lastColumn="0" w:noHBand="0" w:noVBand="0"/>
      </w:tblPr>
      <w:tblGrid>
        <w:gridCol w:w="7857"/>
      </w:tblGrid>
      <w:tr w:rsidR="00910161" w:rsidRPr="00E874EC">
        <w:tc>
          <w:tcPr>
            <w:tcW w:w="7857" w:type="dxa"/>
          </w:tcPr>
          <w:p w:rsidR="00406E4D" w:rsidRPr="00690113" w:rsidRDefault="00690113" w:rsidP="008834F1">
            <w:pPr>
              <w:pStyle w:val="BODYPROTOCOL"/>
              <w:rPr>
                <w:rFonts w:cs="David"/>
                <w:b/>
                <w:sz w:val="26"/>
                <w:szCs w:val="26"/>
                <w:u w:val="single"/>
                <w:rtl/>
              </w:rPr>
            </w:pPr>
            <w:bookmarkStart w:id="0" w:name="_GoBack"/>
            <w:bookmarkEnd w:id="0"/>
            <w:r w:rsidRPr="00690113">
              <w:rPr>
                <w:rFonts w:cs="David"/>
                <w:b/>
                <w:sz w:val="26"/>
                <w:szCs w:val="26"/>
                <w:u w:val="single"/>
                <w:rtl/>
              </w:rPr>
              <w:t>בבית המשפט העליון בשבתו כבית המשפט הגבוה לצדק</w:t>
            </w:r>
          </w:p>
        </w:tc>
      </w:tr>
    </w:tbl>
    <w:p w:rsidR="00406E4D" w:rsidRPr="00E874EC" w:rsidRDefault="00406E4D">
      <w:pPr>
        <w:jc w:val="right"/>
        <w:rPr>
          <w:b/>
          <w:bCs/>
          <w:sz w:val="26"/>
          <w:szCs w:val="26"/>
          <w:u w:val="single"/>
        </w:rPr>
      </w:pPr>
    </w:p>
    <w:tbl>
      <w:tblPr>
        <w:bidiVisual/>
        <w:tblW w:w="0" w:type="auto"/>
        <w:tblLook w:val="0000" w:firstRow="0" w:lastRow="0" w:firstColumn="0" w:lastColumn="0" w:noHBand="0" w:noVBand="0"/>
      </w:tblPr>
      <w:tblGrid>
        <w:gridCol w:w="9639"/>
      </w:tblGrid>
      <w:tr w:rsidR="00910161" w:rsidRPr="00E874EC">
        <w:tc>
          <w:tcPr>
            <w:tcW w:w="9855" w:type="dxa"/>
          </w:tcPr>
          <w:p w:rsidR="00406E4D" w:rsidRPr="00E874EC" w:rsidRDefault="00690113" w:rsidP="00195170">
            <w:pPr>
              <w:pStyle w:val="Casenameintextbody"/>
              <w:rPr>
                <w:sz w:val="26"/>
                <w:szCs w:val="26"/>
              </w:rPr>
            </w:pPr>
            <w:r>
              <w:rPr>
                <w:sz w:val="26"/>
                <w:szCs w:val="26"/>
                <w:rtl/>
              </w:rPr>
              <w:t>בג"ץ 8001/19</w:t>
            </w:r>
          </w:p>
        </w:tc>
      </w:tr>
    </w:tbl>
    <w:p w:rsidR="00406E4D" w:rsidRPr="00E874EC" w:rsidRDefault="00406E4D">
      <w:pPr>
        <w:jc w:val="right"/>
        <w:rPr>
          <w:b/>
          <w:bCs/>
          <w:sz w:val="26"/>
          <w:szCs w:val="26"/>
          <w:u w:val="single"/>
          <w:rtl/>
        </w:rPr>
      </w:pPr>
    </w:p>
    <w:tbl>
      <w:tblPr>
        <w:bidiVisual/>
        <w:tblW w:w="0" w:type="auto"/>
        <w:tblLook w:val="0000" w:firstRow="0" w:lastRow="0" w:firstColumn="0" w:lastColumn="0" w:noHBand="0" w:noVBand="0"/>
      </w:tblPr>
      <w:tblGrid>
        <w:gridCol w:w="1800"/>
        <w:gridCol w:w="7839"/>
      </w:tblGrid>
      <w:tr w:rsidR="00910161" w:rsidRPr="00E874EC">
        <w:trPr>
          <w:trHeight w:val="287"/>
        </w:trPr>
        <w:tc>
          <w:tcPr>
            <w:tcW w:w="1827" w:type="dxa"/>
          </w:tcPr>
          <w:p w:rsidR="00910161" w:rsidRPr="00E874EC" w:rsidRDefault="00BD2858">
            <w:pPr>
              <w:pStyle w:val="ruller3"/>
              <w:rPr>
                <w:b/>
                <w:bCs/>
                <w:sz w:val="26"/>
                <w:szCs w:val="26"/>
                <w:u w:val="single"/>
              </w:rPr>
            </w:pPr>
            <w:r w:rsidRPr="00E874EC">
              <w:rPr>
                <w:rFonts w:hint="cs"/>
                <w:sz w:val="26"/>
                <w:szCs w:val="26"/>
                <w:rtl/>
              </w:rPr>
              <w:t>ל</w:t>
            </w:r>
            <w:r w:rsidR="00910161" w:rsidRPr="00E874EC">
              <w:rPr>
                <w:sz w:val="26"/>
                <w:szCs w:val="26"/>
                <w:rtl/>
              </w:rPr>
              <w:t>פני:</w:t>
            </w:r>
            <w:r w:rsidR="00910161" w:rsidRPr="00E874EC">
              <w:rPr>
                <w:sz w:val="26"/>
                <w:szCs w:val="26"/>
                <w:rtl/>
              </w:rPr>
              <w:tab/>
            </w:r>
          </w:p>
        </w:tc>
        <w:tc>
          <w:tcPr>
            <w:tcW w:w="8010" w:type="dxa"/>
          </w:tcPr>
          <w:p w:rsidR="00910161" w:rsidRPr="00E874EC" w:rsidRDefault="00690113">
            <w:pPr>
              <w:rPr>
                <w:sz w:val="26"/>
                <w:szCs w:val="26"/>
              </w:rPr>
            </w:pPr>
            <w:r>
              <w:rPr>
                <w:sz w:val="26"/>
                <w:szCs w:val="26"/>
                <w:rtl/>
              </w:rPr>
              <w:t>כבוד השופט ע' פוגלמן</w:t>
            </w:r>
          </w:p>
        </w:tc>
      </w:tr>
      <w:tr w:rsidR="00690113" w:rsidRPr="00E874EC">
        <w:trPr>
          <w:trHeight w:val="287"/>
        </w:trPr>
        <w:tc>
          <w:tcPr>
            <w:tcW w:w="1827" w:type="dxa"/>
          </w:tcPr>
          <w:p w:rsidR="00690113" w:rsidRPr="00E874EC" w:rsidRDefault="00690113">
            <w:pPr>
              <w:pStyle w:val="ruller3"/>
              <w:rPr>
                <w:sz w:val="26"/>
                <w:szCs w:val="26"/>
                <w:rtl/>
              </w:rPr>
            </w:pPr>
          </w:p>
        </w:tc>
        <w:tc>
          <w:tcPr>
            <w:tcW w:w="8010" w:type="dxa"/>
          </w:tcPr>
          <w:p w:rsidR="00690113" w:rsidRDefault="00690113">
            <w:pPr>
              <w:rPr>
                <w:sz w:val="26"/>
                <w:szCs w:val="26"/>
                <w:rtl/>
              </w:rPr>
            </w:pPr>
            <w:r>
              <w:rPr>
                <w:sz w:val="26"/>
                <w:szCs w:val="26"/>
                <w:rtl/>
              </w:rPr>
              <w:t>כבוד השופט מ' מזוז</w:t>
            </w:r>
          </w:p>
        </w:tc>
      </w:tr>
      <w:tr w:rsidR="00690113" w:rsidRPr="00E874EC">
        <w:trPr>
          <w:trHeight w:val="287"/>
        </w:trPr>
        <w:tc>
          <w:tcPr>
            <w:tcW w:w="1827" w:type="dxa"/>
          </w:tcPr>
          <w:p w:rsidR="00690113" w:rsidRPr="00E874EC" w:rsidRDefault="00690113">
            <w:pPr>
              <w:pStyle w:val="ruller3"/>
              <w:rPr>
                <w:sz w:val="26"/>
                <w:szCs w:val="26"/>
                <w:rtl/>
              </w:rPr>
            </w:pPr>
          </w:p>
        </w:tc>
        <w:tc>
          <w:tcPr>
            <w:tcW w:w="8010" w:type="dxa"/>
          </w:tcPr>
          <w:p w:rsidR="00690113" w:rsidRDefault="00690113">
            <w:pPr>
              <w:rPr>
                <w:sz w:val="26"/>
                <w:szCs w:val="26"/>
                <w:rtl/>
              </w:rPr>
            </w:pPr>
            <w:r>
              <w:rPr>
                <w:sz w:val="26"/>
                <w:szCs w:val="26"/>
                <w:rtl/>
              </w:rPr>
              <w:t>כבוד השופט א' שטיין</w:t>
            </w:r>
          </w:p>
        </w:tc>
      </w:tr>
    </w:tbl>
    <w:p w:rsidR="00406E4D" w:rsidRPr="00E874EC" w:rsidRDefault="00406E4D">
      <w:pPr>
        <w:jc w:val="right"/>
        <w:rPr>
          <w:b/>
          <w:bCs/>
          <w:sz w:val="26"/>
          <w:szCs w:val="26"/>
          <w:u w:val="single"/>
          <w:rtl/>
        </w:rPr>
      </w:pPr>
    </w:p>
    <w:tbl>
      <w:tblPr>
        <w:bidiVisual/>
        <w:tblW w:w="0" w:type="auto"/>
        <w:tblLook w:val="0000" w:firstRow="0" w:lastRow="0" w:firstColumn="0" w:lastColumn="0" w:noHBand="0" w:noVBand="0"/>
      </w:tblPr>
      <w:tblGrid>
        <w:gridCol w:w="1809"/>
        <w:gridCol w:w="7830"/>
      </w:tblGrid>
      <w:tr w:rsidR="00910161" w:rsidRPr="00E874EC">
        <w:tc>
          <w:tcPr>
            <w:tcW w:w="1827" w:type="dxa"/>
          </w:tcPr>
          <w:p w:rsidR="00910161" w:rsidRPr="00E874EC" w:rsidRDefault="00690113">
            <w:pPr>
              <w:tabs>
                <w:tab w:val="left" w:pos="2552"/>
              </w:tabs>
              <w:rPr>
                <w:sz w:val="26"/>
                <w:szCs w:val="26"/>
              </w:rPr>
            </w:pPr>
            <w:r>
              <w:rPr>
                <w:sz w:val="26"/>
                <w:szCs w:val="26"/>
                <w:rtl/>
              </w:rPr>
              <w:t>העותרים:</w:t>
            </w:r>
          </w:p>
        </w:tc>
        <w:tc>
          <w:tcPr>
            <w:tcW w:w="8028" w:type="dxa"/>
          </w:tcPr>
          <w:p w:rsidR="00910161" w:rsidRPr="00E874EC" w:rsidRDefault="00690113">
            <w:pPr>
              <w:tabs>
                <w:tab w:val="left" w:pos="2552"/>
              </w:tabs>
              <w:rPr>
                <w:sz w:val="26"/>
                <w:szCs w:val="26"/>
              </w:rPr>
            </w:pPr>
            <w:r>
              <w:rPr>
                <w:sz w:val="26"/>
                <w:szCs w:val="26"/>
                <w:rtl/>
              </w:rPr>
              <w:t>1. פרופ' צבי טריגר</w:t>
            </w:r>
          </w:p>
        </w:tc>
      </w:tr>
      <w:tr w:rsidR="00690113" w:rsidRPr="00E874EC">
        <w:tc>
          <w:tcPr>
            <w:tcW w:w="1827" w:type="dxa"/>
          </w:tcPr>
          <w:p w:rsidR="00690113" w:rsidRDefault="00690113">
            <w:pPr>
              <w:tabs>
                <w:tab w:val="left" w:pos="2552"/>
              </w:tabs>
              <w:rPr>
                <w:sz w:val="26"/>
                <w:szCs w:val="26"/>
                <w:rtl/>
              </w:rPr>
            </w:pPr>
          </w:p>
        </w:tc>
        <w:tc>
          <w:tcPr>
            <w:tcW w:w="8028" w:type="dxa"/>
          </w:tcPr>
          <w:p w:rsidR="00690113" w:rsidRDefault="00690113">
            <w:pPr>
              <w:tabs>
                <w:tab w:val="left" w:pos="2552"/>
              </w:tabs>
              <w:rPr>
                <w:sz w:val="26"/>
                <w:szCs w:val="26"/>
                <w:rtl/>
              </w:rPr>
            </w:pPr>
            <w:r>
              <w:rPr>
                <w:sz w:val="26"/>
                <w:szCs w:val="26"/>
                <w:rtl/>
              </w:rPr>
              <w:t xml:space="preserve">2. פרופ'  סילביה פוגל </w:t>
            </w:r>
            <w:proofErr w:type="spellStart"/>
            <w:r>
              <w:rPr>
                <w:sz w:val="26"/>
                <w:szCs w:val="26"/>
                <w:rtl/>
              </w:rPr>
              <w:t>ביז'אוי</w:t>
            </w:r>
            <w:proofErr w:type="spellEnd"/>
          </w:p>
        </w:tc>
      </w:tr>
      <w:tr w:rsidR="00690113" w:rsidRPr="00E874EC">
        <w:tc>
          <w:tcPr>
            <w:tcW w:w="1827" w:type="dxa"/>
          </w:tcPr>
          <w:p w:rsidR="00690113" w:rsidRDefault="00690113">
            <w:pPr>
              <w:tabs>
                <w:tab w:val="left" w:pos="2552"/>
              </w:tabs>
              <w:rPr>
                <w:sz w:val="26"/>
                <w:szCs w:val="26"/>
                <w:rtl/>
              </w:rPr>
            </w:pPr>
          </w:p>
        </w:tc>
        <w:tc>
          <w:tcPr>
            <w:tcW w:w="8028" w:type="dxa"/>
          </w:tcPr>
          <w:p w:rsidR="00690113" w:rsidRDefault="00690113">
            <w:pPr>
              <w:tabs>
                <w:tab w:val="left" w:pos="2552"/>
              </w:tabs>
              <w:rPr>
                <w:sz w:val="26"/>
                <w:szCs w:val="26"/>
                <w:rtl/>
              </w:rPr>
            </w:pPr>
            <w:r>
              <w:rPr>
                <w:sz w:val="26"/>
                <w:szCs w:val="26"/>
                <w:rtl/>
              </w:rPr>
              <w:t xml:space="preserve">3. ד"ר שרון </w:t>
            </w:r>
            <w:proofErr w:type="spellStart"/>
            <w:r>
              <w:rPr>
                <w:sz w:val="26"/>
                <w:szCs w:val="26"/>
                <w:rtl/>
              </w:rPr>
              <w:t>שקרג'י</w:t>
            </w:r>
            <w:proofErr w:type="spellEnd"/>
          </w:p>
        </w:tc>
      </w:tr>
    </w:tbl>
    <w:p w:rsidR="00406E4D" w:rsidRPr="00E874EC" w:rsidRDefault="00406E4D">
      <w:pPr>
        <w:tabs>
          <w:tab w:val="left" w:pos="1539"/>
        </w:tabs>
        <w:rPr>
          <w:sz w:val="26"/>
          <w:szCs w:val="26"/>
        </w:rPr>
      </w:pPr>
      <w:r w:rsidRPr="00E874EC">
        <w:rPr>
          <w:sz w:val="26"/>
          <w:szCs w:val="26"/>
        </w:rPr>
        <w:tab/>
      </w:r>
    </w:p>
    <w:p w:rsidR="00406E4D" w:rsidRPr="00E874EC" w:rsidRDefault="00406E4D">
      <w:pPr>
        <w:pStyle w:val="ruller3"/>
        <w:rPr>
          <w:sz w:val="26"/>
          <w:szCs w:val="26"/>
        </w:rPr>
      </w:pPr>
      <w:r w:rsidRPr="00E874EC">
        <w:rPr>
          <w:sz w:val="26"/>
          <w:szCs w:val="26"/>
        </w:rPr>
        <w:t xml:space="preserve"> </w:t>
      </w:r>
      <w:r w:rsidRPr="00E874EC">
        <w:rPr>
          <w:sz w:val="26"/>
          <w:szCs w:val="26"/>
        </w:rPr>
        <w:tab/>
        <w:t xml:space="preserve">        </w:t>
      </w:r>
      <w:r w:rsidRPr="00E874EC">
        <w:rPr>
          <w:sz w:val="26"/>
          <w:szCs w:val="26"/>
        </w:rPr>
        <w:tab/>
        <w:t xml:space="preserve">      </w:t>
      </w:r>
      <w:r w:rsidRPr="00E874EC">
        <w:rPr>
          <w:rFonts w:hint="cs"/>
          <w:sz w:val="26"/>
          <w:szCs w:val="26"/>
          <w:rtl/>
        </w:rPr>
        <w:t>נ</w:t>
      </w:r>
      <w:r w:rsidRPr="00E874EC">
        <w:rPr>
          <w:sz w:val="26"/>
          <w:szCs w:val="26"/>
        </w:rPr>
        <w:t xml:space="preserve">  </w:t>
      </w:r>
      <w:r w:rsidRPr="00E874EC">
        <w:rPr>
          <w:rFonts w:hint="cs"/>
          <w:sz w:val="26"/>
          <w:szCs w:val="26"/>
          <w:rtl/>
        </w:rPr>
        <w:t>ג</w:t>
      </w:r>
      <w:r w:rsidRPr="00E874EC">
        <w:rPr>
          <w:sz w:val="26"/>
          <w:szCs w:val="26"/>
        </w:rPr>
        <w:t xml:space="preserve">  </w:t>
      </w:r>
      <w:r w:rsidRPr="00E874EC">
        <w:rPr>
          <w:rFonts w:hint="cs"/>
          <w:sz w:val="26"/>
          <w:szCs w:val="26"/>
          <w:rtl/>
        </w:rPr>
        <w:t>ד</w:t>
      </w:r>
    </w:p>
    <w:p w:rsidR="00406E4D" w:rsidRPr="00E874EC" w:rsidRDefault="00406E4D">
      <w:pPr>
        <w:tabs>
          <w:tab w:val="left" w:pos="1539"/>
        </w:tabs>
        <w:rPr>
          <w:sz w:val="26"/>
          <w:szCs w:val="26"/>
          <w:rtl/>
        </w:rPr>
      </w:pPr>
    </w:p>
    <w:tbl>
      <w:tblPr>
        <w:bidiVisual/>
        <w:tblW w:w="0" w:type="auto"/>
        <w:tblLook w:val="0000" w:firstRow="0" w:lastRow="0" w:firstColumn="0" w:lastColumn="0" w:noHBand="0" w:noVBand="0"/>
      </w:tblPr>
      <w:tblGrid>
        <w:gridCol w:w="1809"/>
        <w:gridCol w:w="7830"/>
      </w:tblGrid>
      <w:tr w:rsidR="00910161" w:rsidRPr="00E874EC">
        <w:tc>
          <w:tcPr>
            <w:tcW w:w="1827" w:type="dxa"/>
          </w:tcPr>
          <w:p w:rsidR="00910161" w:rsidRPr="00E874EC" w:rsidRDefault="00690113">
            <w:pPr>
              <w:tabs>
                <w:tab w:val="left" w:pos="2552"/>
              </w:tabs>
              <w:rPr>
                <w:sz w:val="26"/>
                <w:szCs w:val="26"/>
              </w:rPr>
            </w:pPr>
            <w:r>
              <w:rPr>
                <w:sz w:val="26"/>
                <w:szCs w:val="26"/>
                <w:rtl/>
              </w:rPr>
              <w:t>המשיבים:</w:t>
            </w:r>
          </w:p>
        </w:tc>
        <w:tc>
          <w:tcPr>
            <w:tcW w:w="8028" w:type="dxa"/>
          </w:tcPr>
          <w:p w:rsidR="00910161" w:rsidRPr="00E874EC" w:rsidRDefault="00690113">
            <w:pPr>
              <w:tabs>
                <w:tab w:val="left" w:pos="2552"/>
              </w:tabs>
              <w:rPr>
                <w:sz w:val="26"/>
                <w:szCs w:val="26"/>
              </w:rPr>
            </w:pPr>
            <w:r>
              <w:rPr>
                <w:sz w:val="26"/>
                <w:szCs w:val="26"/>
                <w:rtl/>
              </w:rPr>
              <w:t>1. מנהל בתי המשפט</w:t>
            </w:r>
          </w:p>
        </w:tc>
      </w:tr>
      <w:tr w:rsidR="00690113" w:rsidRPr="00E874EC">
        <w:tc>
          <w:tcPr>
            <w:tcW w:w="1827" w:type="dxa"/>
          </w:tcPr>
          <w:p w:rsidR="00690113" w:rsidRDefault="00690113">
            <w:pPr>
              <w:tabs>
                <w:tab w:val="left" w:pos="2552"/>
              </w:tabs>
              <w:rPr>
                <w:sz w:val="26"/>
                <w:szCs w:val="26"/>
                <w:rtl/>
              </w:rPr>
            </w:pPr>
          </w:p>
        </w:tc>
        <w:tc>
          <w:tcPr>
            <w:tcW w:w="8028" w:type="dxa"/>
          </w:tcPr>
          <w:p w:rsidR="00690113" w:rsidRDefault="00690113">
            <w:pPr>
              <w:tabs>
                <w:tab w:val="left" w:pos="2552"/>
              </w:tabs>
              <w:rPr>
                <w:sz w:val="26"/>
                <w:szCs w:val="26"/>
                <w:rtl/>
              </w:rPr>
            </w:pPr>
            <w:r>
              <w:rPr>
                <w:sz w:val="26"/>
                <w:szCs w:val="26"/>
                <w:rtl/>
              </w:rPr>
              <w:t>2. שר המשפטים</w:t>
            </w:r>
          </w:p>
        </w:tc>
      </w:tr>
    </w:tbl>
    <w:p w:rsidR="00406E4D" w:rsidRPr="00E874EC" w:rsidRDefault="00406E4D" w:rsidP="00910161">
      <w:pPr>
        <w:pStyle w:val="1"/>
        <w:rPr>
          <w:rFonts w:cs="David"/>
          <w:sz w:val="26"/>
          <w:szCs w:val="26"/>
        </w:rPr>
      </w:pPr>
    </w:p>
    <w:tbl>
      <w:tblPr>
        <w:bidiVisual/>
        <w:tblW w:w="0" w:type="auto"/>
        <w:tblInd w:w="27" w:type="dxa"/>
        <w:tblLook w:val="0000" w:firstRow="0" w:lastRow="0" w:firstColumn="0" w:lastColumn="0" w:noHBand="0" w:noVBand="0"/>
      </w:tblPr>
      <w:tblGrid>
        <w:gridCol w:w="1779"/>
        <w:gridCol w:w="7833"/>
      </w:tblGrid>
      <w:tr w:rsidR="00910161" w:rsidRPr="00E874EC">
        <w:trPr>
          <w:gridBefore w:val="1"/>
          <w:trHeight w:val="261"/>
        </w:trPr>
        <w:tc>
          <w:tcPr>
            <w:tcW w:w="8028" w:type="dxa"/>
          </w:tcPr>
          <w:p w:rsidR="00406E4D" w:rsidRPr="00E874EC" w:rsidRDefault="00690113">
            <w:pPr>
              <w:tabs>
                <w:tab w:val="left" w:pos="2552"/>
              </w:tabs>
              <w:rPr>
                <w:sz w:val="26"/>
                <w:szCs w:val="26"/>
              </w:rPr>
            </w:pPr>
            <w:r>
              <w:rPr>
                <w:sz w:val="26"/>
                <w:szCs w:val="26"/>
                <w:rtl/>
              </w:rPr>
              <w:t>עתירה למתן צו על תנאי</w:t>
            </w:r>
          </w:p>
        </w:tc>
      </w:tr>
      <w:tr w:rsidR="00910161" w:rsidRPr="00E874EC">
        <w:trPr>
          <w:gridBefore w:val="1"/>
          <w:trHeight w:val="162"/>
        </w:trPr>
        <w:tc>
          <w:tcPr>
            <w:tcW w:w="8028" w:type="dxa"/>
          </w:tcPr>
          <w:p w:rsidR="00406E4D" w:rsidRPr="00E874EC" w:rsidRDefault="00406E4D">
            <w:pPr>
              <w:tabs>
                <w:tab w:val="left" w:pos="2552"/>
              </w:tabs>
              <w:rPr>
                <w:sz w:val="26"/>
                <w:szCs w:val="26"/>
              </w:rPr>
            </w:pPr>
          </w:p>
        </w:tc>
      </w:tr>
      <w:tr w:rsidR="00910161" w:rsidRPr="00E87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0" w:type="dxa"/>
            <w:tcBorders>
              <w:top w:val="nil"/>
              <w:left w:val="nil"/>
              <w:bottom w:val="nil"/>
              <w:right w:val="nil"/>
            </w:tcBorders>
          </w:tcPr>
          <w:p w:rsidR="00910161" w:rsidRPr="00E874EC" w:rsidRDefault="00910161">
            <w:pPr>
              <w:pStyle w:val="ruller3"/>
              <w:rPr>
                <w:sz w:val="26"/>
                <w:szCs w:val="26"/>
              </w:rPr>
            </w:pPr>
            <w:r w:rsidRPr="00E874EC">
              <w:rPr>
                <w:sz w:val="26"/>
                <w:szCs w:val="26"/>
                <w:rtl/>
              </w:rPr>
              <w:t>תאריך הישיבה:</w:t>
            </w:r>
          </w:p>
        </w:tc>
        <w:tc>
          <w:tcPr>
            <w:tcW w:w="8028" w:type="dxa"/>
            <w:tcBorders>
              <w:top w:val="nil"/>
              <w:left w:val="nil"/>
              <w:bottom w:val="nil"/>
              <w:right w:val="nil"/>
            </w:tcBorders>
          </w:tcPr>
          <w:p w:rsidR="00910161" w:rsidRPr="00E874EC" w:rsidRDefault="00690113">
            <w:pPr>
              <w:pStyle w:val="precasestyle"/>
              <w:ind w:right="0"/>
              <w:rPr>
                <w:sz w:val="26"/>
                <w:szCs w:val="26"/>
              </w:rPr>
            </w:pPr>
            <w:r>
              <w:rPr>
                <w:sz w:val="26"/>
                <w:szCs w:val="26"/>
                <w:rtl/>
              </w:rPr>
              <w:t xml:space="preserve">י"ד בכסלו </w:t>
            </w:r>
            <w:proofErr w:type="spellStart"/>
            <w:r>
              <w:rPr>
                <w:sz w:val="26"/>
                <w:szCs w:val="26"/>
                <w:rtl/>
              </w:rPr>
              <w:t>התשפ"א</w:t>
            </w:r>
            <w:proofErr w:type="spellEnd"/>
            <w:r>
              <w:rPr>
                <w:sz w:val="26"/>
                <w:szCs w:val="26"/>
                <w:rtl/>
              </w:rPr>
              <w:t xml:space="preserve"> (30.11.20)</w:t>
            </w:r>
          </w:p>
        </w:tc>
      </w:tr>
    </w:tbl>
    <w:p w:rsidR="00406E4D" w:rsidRPr="00E874EC" w:rsidRDefault="00406E4D">
      <w:pPr>
        <w:tabs>
          <w:tab w:val="left" w:pos="2552"/>
        </w:tabs>
        <w:rPr>
          <w:sz w:val="26"/>
          <w:szCs w:val="26"/>
        </w:rPr>
      </w:pPr>
    </w:p>
    <w:p w:rsidR="00406E4D" w:rsidRPr="00E874EC" w:rsidRDefault="00406E4D">
      <w:pPr>
        <w:tabs>
          <w:tab w:val="left" w:pos="2552"/>
        </w:tabs>
        <w:rPr>
          <w:sz w:val="26"/>
          <w:szCs w:val="26"/>
          <w:rtl/>
        </w:rPr>
      </w:pPr>
    </w:p>
    <w:tbl>
      <w:tblPr>
        <w:bidiVisual/>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7"/>
        <w:gridCol w:w="7835"/>
      </w:tblGrid>
      <w:tr w:rsidR="00910161" w:rsidRPr="00E874EC">
        <w:tc>
          <w:tcPr>
            <w:tcW w:w="1800" w:type="dxa"/>
            <w:tcBorders>
              <w:top w:val="nil"/>
              <w:left w:val="nil"/>
              <w:bottom w:val="nil"/>
              <w:right w:val="nil"/>
            </w:tcBorders>
          </w:tcPr>
          <w:p w:rsidR="00910161" w:rsidRDefault="00690113">
            <w:pPr>
              <w:pStyle w:val="ruller3"/>
              <w:rPr>
                <w:sz w:val="26"/>
                <w:szCs w:val="26"/>
                <w:rtl/>
              </w:rPr>
            </w:pPr>
            <w:r>
              <w:rPr>
                <w:sz w:val="26"/>
                <w:szCs w:val="26"/>
                <w:rtl/>
              </w:rPr>
              <w:t>מזכיר הרכב</w:t>
            </w:r>
            <w:r w:rsidR="00195170">
              <w:rPr>
                <w:rFonts w:hint="cs"/>
                <w:sz w:val="26"/>
                <w:szCs w:val="26"/>
                <w:rtl/>
              </w:rPr>
              <w:t>:</w:t>
            </w:r>
          </w:p>
          <w:p w:rsidR="00195170" w:rsidRPr="00E874EC" w:rsidRDefault="00195170">
            <w:pPr>
              <w:pStyle w:val="ruller3"/>
              <w:rPr>
                <w:sz w:val="26"/>
                <w:szCs w:val="26"/>
              </w:rPr>
            </w:pPr>
          </w:p>
        </w:tc>
        <w:tc>
          <w:tcPr>
            <w:tcW w:w="8028" w:type="dxa"/>
            <w:tcBorders>
              <w:top w:val="nil"/>
              <w:left w:val="nil"/>
              <w:bottom w:val="nil"/>
              <w:right w:val="nil"/>
            </w:tcBorders>
          </w:tcPr>
          <w:p w:rsidR="00910161" w:rsidRPr="00E874EC" w:rsidRDefault="00690113">
            <w:pPr>
              <w:pStyle w:val="precasestyle"/>
              <w:ind w:right="0"/>
              <w:rPr>
                <w:sz w:val="26"/>
                <w:szCs w:val="26"/>
              </w:rPr>
            </w:pPr>
            <w:r>
              <w:rPr>
                <w:sz w:val="26"/>
                <w:szCs w:val="26"/>
                <w:rtl/>
              </w:rPr>
              <w:t>נדב י</w:t>
            </w:r>
            <w:r w:rsidR="0067056B">
              <w:rPr>
                <w:rFonts w:hint="cs"/>
                <w:sz w:val="26"/>
                <w:szCs w:val="26"/>
                <w:rtl/>
              </w:rPr>
              <w:t>'</w:t>
            </w:r>
          </w:p>
        </w:tc>
      </w:tr>
      <w:tr w:rsidR="00D3373E" w:rsidRPr="00E874EC">
        <w:tc>
          <w:tcPr>
            <w:tcW w:w="1800" w:type="dxa"/>
            <w:tcBorders>
              <w:top w:val="nil"/>
              <w:left w:val="nil"/>
              <w:bottom w:val="nil"/>
              <w:right w:val="nil"/>
            </w:tcBorders>
          </w:tcPr>
          <w:p w:rsidR="00D3373E" w:rsidRPr="00E874EC" w:rsidRDefault="00D3373E">
            <w:pPr>
              <w:pStyle w:val="ruller3"/>
              <w:rPr>
                <w:sz w:val="26"/>
                <w:szCs w:val="26"/>
                <w:rtl/>
              </w:rPr>
            </w:pPr>
            <w:r w:rsidRPr="00E874EC">
              <w:rPr>
                <w:rFonts w:hint="cs"/>
                <w:sz w:val="26"/>
                <w:szCs w:val="26"/>
                <w:rtl/>
              </w:rPr>
              <w:t>קלדנית</w:t>
            </w:r>
            <w:r w:rsidR="0067056B">
              <w:rPr>
                <w:rFonts w:hint="cs"/>
                <w:sz w:val="26"/>
                <w:szCs w:val="26"/>
                <w:rtl/>
              </w:rPr>
              <w:t xml:space="preserve"> הרכב</w:t>
            </w:r>
            <w:r w:rsidRPr="00E874EC">
              <w:rPr>
                <w:rFonts w:hint="cs"/>
                <w:sz w:val="26"/>
                <w:szCs w:val="26"/>
                <w:rtl/>
              </w:rPr>
              <w:t>:</w:t>
            </w:r>
          </w:p>
        </w:tc>
        <w:tc>
          <w:tcPr>
            <w:tcW w:w="8028" w:type="dxa"/>
            <w:tcBorders>
              <w:top w:val="nil"/>
              <w:left w:val="nil"/>
              <w:bottom w:val="nil"/>
              <w:right w:val="nil"/>
            </w:tcBorders>
          </w:tcPr>
          <w:p w:rsidR="00D3373E" w:rsidRPr="00E874EC" w:rsidRDefault="0067056B">
            <w:pPr>
              <w:pStyle w:val="precasestyle"/>
              <w:ind w:right="0"/>
              <w:rPr>
                <w:sz w:val="26"/>
                <w:szCs w:val="26"/>
                <w:rtl/>
              </w:rPr>
            </w:pPr>
            <w:r>
              <w:rPr>
                <w:rFonts w:hint="cs"/>
                <w:sz w:val="26"/>
                <w:szCs w:val="26"/>
                <w:rtl/>
              </w:rPr>
              <w:t>רונית י'</w:t>
            </w:r>
          </w:p>
        </w:tc>
      </w:tr>
    </w:tbl>
    <w:p w:rsidR="00406E4D" w:rsidRPr="00E874EC" w:rsidRDefault="00406E4D">
      <w:pPr>
        <w:tabs>
          <w:tab w:val="left" w:pos="2552"/>
        </w:tabs>
        <w:rPr>
          <w:sz w:val="26"/>
          <w:szCs w:val="26"/>
          <w:rtl/>
        </w:rPr>
      </w:pPr>
    </w:p>
    <w:p w:rsidR="00406E4D" w:rsidRPr="00E874EC" w:rsidRDefault="00406E4D">
      <w:pPr>
        <w:tabs>
          <w:tab w:val="left" w:pos="2552"/>
        </w:tabs>
        <w:rPr>
          <w:sz w:val="26"/>
          <w:szCs w:val="26"/>
          <w:rtl/>
        </w:rPr>
      </w:pPr>
      <w:bookmarkStart w:id="1" w:name="secretary"/>
      <w:bookmarkEnd w:id="1"/>
    </w:p>
    <w:tbl>
      <w:tblPr>
        <w:bidiVisual/>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2"/>
        <w:gridCol w:w="7830"/>
      </w:tblGrid>
      <w:tr w:rsidR="00910161" w:rsidRPr="00E874EC">
        <w:tc>
          <w:tcPr>
            <w:tcW w:w="1800" w:type="dxa"/>
            <w:tcBorders>
              <w:top w:val="nil"/>
              <w:left w:val="nil"/>
              <w:bottom w:val="nil"/>
              <w:right w:val="nil"/>
            </w:tcBorders>
          </w:tcPr>
          <w:p w:rsidR="00910161" w:rsidRPr="00E874EC" w:rsidRDefault="00690113">
            <w:pPr>
              <w:pStyle w:val="ruller3"/>
              <w:rPr>
                <w:sz w:val="26"/>
                <w:szCs w:val="26"/>
              </w:rPr>
            </w:pPr>
            <w:bookmarkStart w:id="2" w:name="lawyers_a_title"/>
            <w:r>
              <w:rPr>
                <w:sz w:val="26"/>
                <w:szCs w:val="26"/>
                <w:rtl/>
              </w:rPr>
              <w:t>בשם העותרים:</w:t>
            </w:r>
          </w:p>
        </w:tc>
        <w:tc>
          <w:tcPr>
            <w:tcW w:w="8028" w:type="dxa"/>
            <w:tcBorders>
              <w:top w:val="nil"/>
              <w:left w:val="nil"/>
              <w:bottom w:val="nil"/>
              <w:right w:val="nil"/>
            </w:tcBorders>
          </w:tcPr>
          <w:p w:rsidR="00910161" w:rsidRPr="00E874EC" w:rsidRDefault="0067056B">
            <w:pPr>
              <w:pStyle w:val="precasestyle"/>
              <w:ind w:right="0"/>
              <w:rPr>
                <w:sz w:val="26"/>
                <w:szCs w:val="26"/>
              </w:rPr>
            </w:pPr>
            <w:r>
              <w:rPr>
                <w:rFonts w:hint="cs"/>
                <w:sz w:val="26"/>
                <w:szCs w:val="26"/>
                <w:rtl/>
              </w:rPr>
              <w:t xml:space="preserve">עו"ד אבישג עוזרד, עו"ד שי </w:t>
            </w:r>
            <w:proofErr w:type="spellStart"/>
            <w:r>
              <w:rPr>
                <w:rFonts w:hint="cs"/>
                <w:sz w:val="26"/>
                <w:szCs w:val="26"/>
                <w:rtl/>
              </w:rPr>
              <w:t>זילברברג</w:t>
            </w:r>
            <w:proofErr w:type="spellEnd"/>
            <w:r w:rsidR="00910161" w:rsidRPr="00E874EC">
              <w:rPr>
                <w:sz w:val="26"/>
                <w:szCs w:val="26"/>
                <w:rtl/>
              </w:rPr>
              <w:tab/>
            </w:r>
          </w:p>
        </w:tc>
      </w:tr>
      <w:bookmarkEnd w:id="2"/>
    </w:tbl>
    <w:p w:rsidR="00406E4D" w:rsidRPr="0067056B" w:rsidRDefault="00406E4D">
      <w:pPr>
        <w:tabs>
          <w:tab w:val="left" w:pos="2552"/>
        </w:tabs>
        <w:rPr>
          <w:sz w:val="26"/>
          <w:szCs w:val="26"/>
          <w:rtl/>
        </w:rPr>
      </w:pPr>
    </w:p>
    <w:p w:rsidR="00406E4D" w:rsidRPr="00E874EC" w:rsidRDefault="00406E4D">
      <w:pPr>
        <w:tabs>
          <w:tab w:val="left" w:pos="2552"/>
        </w:tabs>
        <w:rPr>
          <w:sz w:val="26"/>
          <w:szCs w:val="26"/>
          <w:rtl/>
        </w:rPr>
      </w:pPr>
    </w:p>
    <w:tbl>
      <w:tblPr>
        <w:bidiVisual/>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8"/>
        <w:gridCol w:w="7834"/>
      </w:tblGrid>
      <w:tr w:rsidR="00910161" w:rsidRPr="00E874EC">
        <w:tc>
          <w:tcPr>
            <w:tcW w:w="1800" w:type="dxa"/>
            <w:tcBorders>
              <w:top w:val="nil"/>
              <w:left w:val="nil"/>
              <w:bottom w:val="nil"/>
              <w:right w:val="nil"/>
            </w:tcBorders>
          </w:tcPr>
          <w:p w:rsidR="00910161" w:rsidRPr="00E874EC" w:rsidRDefault="00690113" w:rsidP="00195170">
            <w:pPr>
              <w:pStyle w:val="ruller3"/>
              <w:rPr>
                <w:sz w:val="26"/>
                <w:szCs w:val="26"/>
              </w:rPr>
            </w:pPr>
            <w:bookmarkStart w:id="3" w:name="lawyers_b_title"/>
            <w:r>
              <w:rPr>
                <w:sz w:val="26"/>
                <w:szCs w:val="26"/>
                <w:rtl/>
              </w:rPr>
              <w:t>בשם המשיב</w:t>
            </w:r>
            <w:r w:rsidR="00195170">
              <w:rPr>
                <w:rFonts w:hint="cs"/>
                <w:sz w:val="26"/>
                <w:szCs w:val="26"/>
                <w:rtl/>
              </w:rPr>
              <w:t>ים</w:t>
            </w:r>
            <w:r>
              <w:rPr>
                <w:sz w:val="26"/>
                <w:szCs w:val="26"/>
                <w:rtl/>
              </w:rPr>
              <w:t>:</w:t>
            </w:r>
          </w:p>
        </w:tc>
        <w:tc>
          <w:tcPr>
            <w:tcW w:w="8028" w:type="dxa"/>
            <w:tcBorders>
              <w:top w:val="nil"/>
              <w:left w:val="nil"/>
              <w:bottom w:val="nil"/>
              <w:right w:val="nil"/>
            </w:tcBorders>
          </w:tcPr>
          <w:p w:rsidR="0067056B" w:rsidRDefault="0067056B">
            <w:pPr>
              <w:pStyle w:val="precasestyle"/>
              <w:ind w:right="0"/>
              <w:rPr>
                <w:sz w:val="26"/>
                <w:szCs w:val="26"/>
                <w:rtl/>
              </w:rPr>
            </w:pPr>
            <w:r>
              <w:rPr>
                <w:rFonts w:hint="cs"/>
                <w:sz w:val="26"/>
                <w:szCs w:val="26"/>
                <w:rtl/>
              </w:rPr>
              <w:t>עו"ד</w:t>
            </w:r>
            <w:r w:rsidR="00EA0342">
              <w:rPr>
                <w:rFonts w:hint="cs"/>
                <w:sz w:val="26"/>
                <w:szCs w:val="26"/>
                <w:rtl/>
              </w:rPr>
              <w:t xml:space="preserve"> שוש שמואלי</w:t>
            </w:r>
          </w:p>
          <w:p w:rsidR="00910161" w:rsidRPr="00E874EC" w:rsidRDefault="00910161">
            <w:pPr>
              <w:pStyle w:val="precasestyle"/>
              <w:ind w:right="0"/>
              <w:rPr>
                <w:sz w:val="26"/>
                <w:szCs w:val="26"/>
              </w:rPr>
            </w:pPr>
            <w:r w:rsidRPr="00E874EC">
              <w:rPr>
                <w:sz w:val="26"/>
                <w:szCs w:val="26"/>
                <w:rtl/>
              </w:rPr>
              <w:tab/>
            </w:r>
          </w:p>
        </w:tc>
      </w:tr>
      <w:bookmarkEnd w:id="3"/>
    </w:tbl>
    <w:p w:rsidR="00406E4D" w:rsidRPr="0067056B" w:rsidRDefault="00406E4D">
      <w:pPr>
        <w:tabs>
          <w:tab w:val="left" w:pos="2552"/>
        </w:tabs>
        <w:jc w:val="center"/>
        <w:rPr>
          <w:b/>
          <w:bCs/>
          <w:i/>
          <w:iCs/>
          <w:sz w:val="26"/>
          <w:szCs w:val="26"/>
          <w:rtl/>
        </w:rPr>
      </w:pPr>
    </w:p>
    <w:p w:rsidR="00F96312" w:rsidRPr="00E874EC" w:rsidRDefault="001341EE" w:rsidP="00F96312">
      <w:pPr>
        <w:pStyle w:val="BODYPROTOCOL"/>
        <w:rPr>
          <w:rFonts w:cs="David"/>
          <w:sz w:val="26"/>
          <w:szCs w:val="26"/>
          <w:rtl/>
        </w:rPr>
        <w:sectPr w:rsidR="00F96312" w:rsidRPr="00E874EC" w:rsidSect="001774FB">
          <w:headerReference w:type="even" r:id="rId7"/>
          <w:headerReference w:type="default" r:id="rId8"/>
          <w:footerReference w:type="even" r:id="rId9"/>
          <w:footerReference w:type="default" r:id="rId10"/>
          <w:headerReference w:type="first" r:id="rId11"/>
          <w:footerReference w:type="first" r:id="rId12"/>
          <w:pgSz w:w="11907" w:h="16840"/>
          <w:pgMar w:top="1134" w:right="1134" w:bottom="1134" w:left="1134" w:header="709" w:footer="709" w:gutter="0"/>
          <w:cols w:space="709"/>
          <w:titlePg/>
          <w:bidi/>
        </w:sectPr>
      </w:pPr>
      <w:r>
        <w:rPr>
          <w:rFonts w:cs="David" w:hint="cs"/>
          <w:sz w:val="26"/>
          <w:szCs w:val="26"/>
          <w:rtl/>
        </w:rPr>
        <w:tab/>
      </w:r>
      <w:r>
        <w:rPr>
          <w:rFonts w:cs="David" w:hint="cs"/>
          <w:sz w:val="26"/>
          <w:szCs w:val="26"/>
          <w:rtl/>
        </w:rPr>
        <w:tab/>
      </w:r>
      <w:r>
        <w:rPr>
          <w:rFonts w:cs="David" w:hint="cs"/>
          <w:sz w:val="26"/>
          <w:szCs w:val="26"/>
          <w:rtl/>
        </w:rPr>
        <w:tab/>
      </w:r>
      <w:r>
        <w:rPr>
          <w:rFonts w:cs="David" w:hint="cs"/>
          <w:sz w:val="26"/>
          <w:szCs w:val="26"/>
          <w:rtl/>
        </w:rPr>
        <w:tab/>
        <w:t>פרוטוקול</w:t>
      </w:r>
    </w:p>
    <w:p w:rsidR="001341EE" w:rsidRDefault="001341EE" w:rsidP="001341EE">
      <w:pPr>
        <w:pStyle w:val="ruller40"/>
        <w:rPr>
          <w:rFonts w:cs="David"/>
          <w:sz w:val="24"/>
          <w:szCs w:val="26"/>
          <w:rtl/>
          <w:lang w:bidi="he-IL"/>
        </w:rPr>
      </w:pPr>
      <w:bookmarkStart w:id="4" w:name="BeginProtocol"/>
      <w:bookmarkEnd w:id="4"/>
    </w:p>
    <w:p w:rsidR="002C4A91" w:rsidRDefault="002C4A91" w:rsidP="001341EE">
      <w:pPr>
        <w:pStyle w:val="ruller40"/>
        <w:rPr>
          <w:rFonts w:cs="David"/>
          <w:sz w:val="24"/>
          <w:szCs w:val="26"/>
          <w:rtl/>
          <w:lang w:bidi="he-IL"/>
        </w:rPr>
      </w:pPr>
      <w:r w:rsidRPr="002C4A91">
        <w:rPr>
          <w:rFonts w:cs="David" w:hint="cs"/>
          <w:sz w:val="24"/>
          <w:szCs w:val="26"/>
          <w:rtl/>
          <w:lang w:bidi="he-IL"/>
        </w:rPr>
        <w:t xml:space="preserve">כבוד השופט ע' פוגלמן: </w:t>
      </w:r>
      <w:r w:rsidR="00EA0342">
        <w:rPr>
          <w:rFonts w:cs="David" w:hint="cs"/>
          <w:sz w:val="24"/>
          <w:szCs w:val="26"/>
          <w:rtl/>
          <w:lang w:bidi="he-IL"/>
        </w:rPr>
        <w:t xml:space="preserve">קראנו וגם את התגובה המקדמית, המסגרת התבררה וביהמ"ש אמר את דברו. הנקודה שאתם מעלים היא נקודה חשובה ועקרונית ודורשת מענה, אבל מה שמציעים המשיבים בעצם עוד לא יצא לכם להתייחס אליה זה 2 מסלולים. האחד, שצופה פני עתיד ולאפשר באמת פרסום נרחב ככל הניתן ואני חושב כי ברגע שהנהלת בתי המשפט תציג את העניין באופן עקרוני רוב פסה"ד יפורסמו ללא פרטים מזהים. הפרקטיקה שנוהגת בבימ"ש זה, כמעט 100 אחוז של ההחלטות מפורסמות וזה בהחלט יכול להביא לשינוי באמת מהותי, על מנת לשרת את אינטרס הציבור. הדבר השני זה, שזה צופה פני עבר, זה תהליך </w:t>
      </w:r>
      <w:proofErr w:type="spellStart"/>
      <w:r w:rsidR="00EA0342">
        <w:rPr>
          <w:rFonts w:cs="David" w:hint="cs"/>
          <w:sz w:val="24"/>
          <w:szCs w:val="26"/>
          <w:rtl/>
          <w:lang w:bidi="he-IL"/>
        </w:rPr>
        <w:t>שיקח</w:t>
      </w:r>
      <w:proofErr w:type="spellEnd"/>
      <w:r w:rsidR="00EA0342">
        <w:rPr>
          <w:rFonts w:cs="David" w:hint="cs"/>
          <w:sz w:val="24"/>
          <w:szCs w:val="26"/>
          <w:rtl/>
          <w:lang w:bidi="he-IL"/>
        </w:rPr>
        <w:t xml:space="preserve"> יותר זמן אך בסך </w:t>
      </w:r>
      <w:proofErr w:type="spellStart"/>
      <w:r w:rsidR="00EA0342">
        <w:rPr>
          <w:rFonts w:cs="David" w:hint="cs"/>
          <w:sz w:val="24"/>
          <w:szCs w:val="26"/>
          <w:rtl/>
          <w:lang w:bidi="he-IL"/>
        </w:rPr>
        <w:t>הכל</w:t>
      </w:r>
      <w:proofErr w:type="spellEnd"/>
      <w:r w:rsidR="00EA0342">
        <w:rPr>
          <w:rFonts w:cs="David" w:hint="cs"/>
          <w:sz w:val="24"/>
          <w:szCs w:val="26"/>
          <w:rtl/>
          <w:lang w:bidi="he-IL"/>
        </w:rPr>
        <w:t xml:space="preserve"> כל שופט יש לו רצון שמה שהוא כותב יפורסם לציבור ואם אפשר לעשות את זה תוך כדי השמטת פרטים נוספים וחסיון, הדבר ייעשה. נדמה לנו כי זה מהלך שיש לתת לו סיכוי וזה יכול להביא לתוצאה המבוקשת בלא להגיע למצב שניתן פס"ד ובימ"ש זה כבר אמר את דברו.</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Pr>
          <w:rFonts w:cs="David" w:hint="cs"/>
          <w:sz w:val="24"/>
          <w:szCs w:val="26"/>
          <w:rtl/>
          <w:lang w:bidi="he-IL"/>
        </w:rPr>
        <w:lastRenderedPageBreak/>
        <w:t xml:space="preserve">עו"ד </w:t>
      </w:r>
      <w:proofErr w:type="spellStart"/>
      <w:r>
        <w:rPr>
          <w:rFonts w:cs="David" w:hint="cs"/>
          <w:sz w:val="24"/>
          <w:szCs w:val="26"/>
          <w:rtl/>
          <w:lang w:bidi="he-IL"/>
        </w:rPr>
        <w:t>זילברברג</w:t>
      </w:r>
      <w:proofErr w:type="spellEnd"/>
      <w:r>
        <w:rPr>
          <w:rFonts w:cs="David" w:hint="cs"/>
          <w:sz w:val="24"/>
          <w:szCs w:val="26"/>
          <w:rtl/>
          <w:lang w:bidi="he-IL"/>
        </w:rPr>
        <w:t>: אדוני אמר כי יש שופטים שיש להם אינטרס לפרסם, בביהמ"ש לענייני משפחה זה לא כך.</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sidRPr="00EA0342">
        <w:rPr>
          <w:rFonts w:cs="David" w:hint="cs"/>
          <w:sz w:val="24"/>
          <w:szCs w:val="26"/>
          <w:rtl/>
          <w:lang w:bidi="he-IL"/>
        </w:rPr>
        <w:t xml:space="preserve">כבוד השופט ע' פוגלמן: </w:t>
      </w:r>
      <w:r>
        <w:rPr>
          <w:rFonts w:cs="David" w:hint="cs"/>
          <w:sz w:val="24"/>
          <w:szCs w:val="26"/>
          <w:rtl/>
          <w:lang w:bidi="he-IL"/>
        </w:rPr>
        <w:t xml:space="preserve"> זה ברור, הבאנו את הדוגמה של בימ"ש זה. </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בימ"ש זה הוא חריג.</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sidRPr="00EA0342">
        <w:rPr>
          <w:rFonts w:cs="David" w:hint="cs"/>
          <w:sz w:val="24"/>
          <w:szCs w:val="26"/>
          <w:rtl/>
          <w:lang w:bidi="he-IL"/>
        </w:rPr>
        <w:t xml:space="preserve">כבוד השופט ע' פוגלמן: </w:t>
      </w:r>
      <w:r>
        <w:rPr>
          <w:rFonts w:cs="David" w:hint="cs"/>
          <w:sz w:val="24"/>
          <w:szCs w:val="26"/>
          <w:rtl/>
          <w:lang w:bidi="he-IL"/>
        </w:rPr>
        <w:t xml:space="preserve"> זה ענין "תרבותי". בתי המשפט לענייני משפחה התרגלו להיות בצל המגרש וזה נמשך ולא נעשה מאמץ, ככל הנראה, או לא נעשה מאמץ מספיק לעשות זאת אך כאן המשיבים אמרו כי יעשו זאת, ואין לנו ספק כי אם הנהלת בתי המשפט מצהירה על המהלך הזה, הדבר יביא </w:t>
      </w:r>
      <w:proofErr w:type="spellStart"/>
      <w:r>
        <w:rPr>
          <w:rFonts w:cs="David" w:hint="cs"/>
          <w:sz w:val="24"/>
          <w:szCs w:val="26"/>
          <w:rtl/>
          <w:lang w:bidi="he-IL"/>
        </w:rPr>
        <w:t>לשינויץ</w:t>
      </w:r>
      <w:proofErr w:type="spellEnd"/>
      <w:r>
        <w:rPr>
          <w:rFonts w:cs="David" w:hint="cs"/>
          <w:sz w:val="24"/>
          <w:szCs w:val="26"/>
          <w:rtl/>
          <w:lang w:bidi="he-IL"/>
        </w:rPr>
        <w:t>.</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xml:space="preserve">: לגבי מהלך חדש, נוהל </w:t>
      </w:r>
      <w:proofErr w:type="spellStart"/>
      <w:r>
        <w:rPr>
          <w:rFonts w:cs="David" w:hint="cs"/>
          <w:sz w:val="24"/>
          <w:szCs w:val="26"/>
          <w:rtl/>
          <w:lang w:bidi="he-IL"/>
        </w:rPr>
        <w:t>שהכל</w:t>
      </w:r>
      <w:proofErr w:type="spellEnd"/>
      <w:r>
        <w:rPr>
          <w:rFonts w:cs="David" w:hint="cs"/>
          <w:sz w:val="24"/>
          <w:szCs w:val="26"/>
          <w:rtl/>
          <w:lang w:bidi="he-IL"/>
        </w:rPr>
        <w:t xml:space="preserve"> צריך להיות מפורסם ויש נוהל, זה משהו אחר. כאן זה לא נוהל. מדובר על שליחת מכתב, ואינני מזלזל בזה. </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sidRPr="00EA0342">
        <w:rPr>
          <w:rFonts w:cs="David" w:hint="cs"/>
          <w:sz w:val="24"/>
          <w:szCs w:val="26"/>
          <w:rtl/>
          <w:lang w:bidi="he-IL"/>
        </w:rPr>
        <w:t xml:space="preserve">כבוד השופט ע' פוגלמן: </w:t>
      </w:r>
      <w:r>
        <w:rPr>
          <w:rFonts w:cs="David" w:hint="cs"/>
          <w:sz w:val="24"/>
          <w:szCs w:val="26"/>
          <w:rtl/>
          <w:lang w:bidi="he-IL"/>
        </w:rPr>
        <w:t xml:space="preserve"> נשמע את גב' שמואלי מה הכוונה שלהם לעשות. אדוני צריך להבין בתי משפט כיוון שזה כולל שופטים רבים זה נעשה על ידי הנחיות פורמליות. </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xml:space="preserve">: לגבי פסה"ד, לדעתי יש הבדל מאוד גדול בין מה שהיה שם. שם נקבע כי לא </w:t>
      </w:r>
      <w:proofErr w:type="spellStart"/>
      <w:r>
        <w:rPr>
          <w:rFonts w:cs="David" w:hint="cs"/>
          <w:sz w:val="24"/>
          <w:szCs w:val="26"/>
          <w:rtl/>
          <w:lang w:bidi="he-IL"/>
        </w:rPr>
        <w:t>היתה</w:t>
      </w:r>
      <w:proofErr w:type="spellEnd"/>
      <w:r>
        <w:rPr>
          <w:rFonts w:cs="David" w:hint="cs"/>
          <w:sz w:val="24"/>
          <w:szCs w:val="26"/>
          <w:rtl/>
          <w:lang w:bidi="he-IL"/>
        </w:rPr>
        <w:t xml:space="preserve"> שום דרך משפטית לתת עיון כללי.</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sidRPr="00EA0342">
        <w:rPr>
          <w:rFonts w:cs="David" w:hint="cs"/>
          <w:sz w:val="24"/>
          <w:szCs w:val="26"/>
          <w:rtl/>
          <w:lang w:bidi="he-IL"/>
        </w:rPr>
        <w:t xml:space="preserve">כבוד השופט מ' מזוז: </w:t>
      </w:r>
      <w:r>
        <w:rPr>
          <w:rFonts w:cs="David" w:hint="cs"/>
          <w:sz w:val="24"/>
          <w:szCs w:val="26"/>
          <w:rtl/>
          <w:lang w:bidi="he-IL"/>
        </w:rPr>
        <w:t xml:space="preserve"> תקנות העיון מציבות בפניכם קשיים רבים. זה לא רק עניין של שיקול דעת אלא סמכות שאי אפשר לתת היתר עיון כללי. החוק קובע את שקובע (ביהמ"ש מקריא). אתם רוצים כי זה יפורסם, לא לפרסם את פסה"ד אלא אתם רוצים לפרסם מאמרים או מחקרים על בסיס פסה"ד. </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אני כאן כחוקר. אם אני מעיין בפס"ד וזה מסתכם בהערת שוליים במאמר או בטבלה.</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sidRPr="00EA0342">
        <w:rPr>
          <w:rFonts w:cs="David" w:hint="cs"/>
          <w:sz w:val="24"/>
          <w:szCs w:val="26"/>
          <w:rtl/>
          <w:lang w:bidi="he-IL"/>
        </w:rPr>
        <w:t xml:space="preserve">כבוד השופט מ' מזוז: </w:t>
      </w:r>
      <w:r>
        <w:rPr>
          <w:rFonts w:cs="David" w:hint="cs"/>
          <w:sz w:val="24"/>
          <w:szCs w:val="26"/>
          <w:rtl/>
          <w:lang w:bidi="he-IL"/>
        </w:rPr>
        <w:t xml:space="preserve"> זה לא משנה, כתוב "לא יפרסם אדם דבר" הכוונה לכל דבר שנוגע לפסה"ד הוא לכאורה אסור אלא מרשות ביהמ"ש. זה צריך להיות קונקרטי שמתייחס לתיק </w:t>
      </w:r>
      <w:proofErr w:type="spellStart"/>
      <w:r>
        <w:rPr>
          <w:rFonts w:cs="David" w:hint="cs"/>
          <w:sz w:val="24"/>
          <w:szCs w:val="26"/>
          <w:rtl/>
          <w:lang w:bidi="he-IL"/>
        </w:rPr>
        <w:t>מסויים</w:t>
      </w:r>
      <w:proofErr w:type="spellEnd"/>
      <w:r>
        <w:rPr>
          <w:rFonts w:cs="David" w:hint="cs"/>
          <w:sz w:val="24"/>
          <w:szCs w:val="26"/>
          <w:rtl/>
          <w:lang w:bidi="he-IL"/>
        </w:rPr>
        <w:t xml:space="preserve"> ולכן זה לא מתיישב עם הרעיון להיתר כללי לעיון. זה כן מתיישב לעיון ספציפי. לכן זה מקבע את אותה תפיסה </w:t>
      </w:r>
      <w:proofErr w:type="spellStart"/>
      <w:r>
        <w:rPr>
          <w:rFonts w:cs="David" w:hint="cs"/>
          <w:sz w:val="24"/>
          <w:szCs w:val="26"/>
          <w:rtl/>
          <w:lang w:bidi="he-IL"/>
        </w:rPr>
        <w:t>שהיתה</w:t>
      </w:r>
      <w:proofErr w:type="spellEnd"/>
      <w:r>
        <w:rPr>
          <w:rFonts w:cs="David" w:hint="cs"/>
          <w:sz w:val="24"/>
          <w:szCs w:val="26"/>
          <w:rtl/>
          <w:lang w:bidi="he-IL"/>
        </w:rPr>
        <w:t xml:space="preserve"> פסה"ד שלא ניתן לתת ולא נכון לתת היתרים כלליים. לכן הפתרון היחיד לבעיה הזו, וזו אכן בעיה כפי שחברי ראש ההרכב ציין, המציאות שבה תחום שלם וחשוב של המשפט בעניין משפחה רוב פסה"ד ובוודאי של הערכאות הנמוכות, לא מתפרסמים זו בעיה. המדינה מקבלת את זה והיא מבינה את זה. היא הצהירה כי תנקוט במהלך </w:t>
      </w:r>
      <w:proofErr w:type="spellStart"/>
      <w:r>
        <w:rPr>
          <w:rFonts w:cs="David" w:hint="cs"/>
          <w:sz w:val="24"/>
          <w:szCs w:val="26"/>
          <w:rtl/>
          <w:lang w:bidi="he-IL"/>
        </w:rPr>
        <w:t>מסויים</w:t>
      </w:r>
      <w:proofErr w:type="spellEnd"/>
      <w:r>
        <w:rPr>
          <w:rFonts w:cs="David" w:hint="cs"/>
          <w:sz w:val="24"/>
          <w:szCs w:val="26"/>
          <w:rtl/>
          <w:lang w:bidi="he-IL"/>
        </w:rPr>
        <w:t xml:space="preserve">. גם אני לא בטוח כי המהלך הזה יצליח או יוביל לתוצאה הטובה, יתכן שכן ויתכן שלא. אם לא, יהיה מקום </w:t>
      </w:r>
      <w:r>
        <w:rPr>
          <w:rFonts w:cs="David" w:hint="cs"/>
          <w:sz w:val="24"/>
          <w:szCs w:val="26"/>
          <w:rtl/>
          <w:lang w:bidi="he-IL"/>
        </w:rPr>
        <w:lastRenderedPageBreak/>
        <w:t>לקבוע הסדר, לטעמי לפחות, בתקנות הסדר קונקרטי שאמור להתמודד עם הבעיה הזו. זה ייעשה אחרי עבודת הועדה או בלעדיה. כל זה חורג מעתירתכם. העתירה שלכם ברמה הפורמלית שלה היא תוקפת את הנושא של היתר כללי. בעניין הזה אתם מטפסים על קיר חלק. אינני רואה שום אחיזה.</w:t>
      </w:r>
    </w:p>
    <w:p w:rsidR="00EA0342" w:rsidRDefault="00EA0342" w:rsidP="001341EE">
      <w:pPr>
        <w:pStyle w:val="ruller40"/>
        <w:rPr>
          <w:rFonts w:cs="David"/>
          <w:sz w:val="24"/>
          <w:szCs w:val="26"/>
          <w:rtl/>
          <w:lang w:bidi="he-IL"/>
        </w:rPr>
      </w:pPr>
    </w:p>
    <w:p w:rsidR="00EA0342" w:rsidRDefault="00EA0342" w:rsidP="00EA0342">
      <w:pPr>
        <w:pStyle w:val="ruller40"/>
        <w:rPr>
          <w:rFonts w:cs="David"/>
          <w:sz w:val="24"/>
          <w:szCs w:val="26"/>
          <w:rtl/>
          <w:lang w:bidi="he-IL"/>
        </w:rPr>
      </w:pPr>
      <w:r w:rsidRPr="00EA0342">
        <w:rPr>
          <w:rFonts w:cs="David" w:hint="cs"/>
          <w:sz w:val="24"/>
          <w:szCs w:val="26"/>
          <w:rtl/>
          <w:lang w:bidi="he-IL"/>
        </w:rPr>
        <w:t xml:space="preserve">כבוד השופט ע' פוגלמן: </w:t>
      </w:r>
      <w:r>
        <w:rPr>
          <w:rFonts w:cs="David" w:hint="cs"/>
          <w:sz w:val="24"/>
          <w:szCs w:val="26"/>
          <w:rtl/>
          <w:lang w:bidi="he-IL"/>
        </w:rPr>
        <w:t xml:space="preserve"> </w:t>
      </w:r>
      <w:proofErr w:type="spellStart"/>
      <w:r>
        <w:rPr>
          <w:rFonts w:cs="David" w:hint="cs"/>
          <w:sz w:val="24"/>
          <w:szCs w:val="26"/>
          <w:rtl/>
          <w:lang w:bidi="he-IL"/>
        </w:rPr>
        <w:t>להפיס</w:t>
      </w:r>
      <w:proofErr w:type="spellEnd"/>
      <w:r>
        <w:rPr>
          <w:rFonts w:cs="David" w:hint="cs"/>
          <w:sz w:val="24"/>
          <w:szCs w:val="26"/>
          <w:rtl/>
          <w:lang w:bidi="he-IL"/>
        </w:rPr>
        <w:t xml:space="preserve"> את דעתו של אדוני, גם אם נניח לטובת אדוני שיש סמכות הפעלת שיקול הדעת של המנהל היא בלב מתחם הסבירות. נחסוך לעצמנו את </w:t>
      </w:r>
      <w:proofErr w:type="spellStart"/>
      <w:r>
        <w:rPr>
          <w:rFonts w:cs="David" w:hint="cs"/>
          <w:sz w:val="24"/>
          <w:szCs w:val="26"/>
          <w:rtl/>
          <w:lang w:bidi="he-IL"/>
        </w:rPr>
        <w:t>הויכוח</w:t>
      </w:r>
      <w:proofErr w:type="spellEnd"/>
      <w:r>
        <w:rPr>
          <w:rFonts w:cs="David" w:hint="cs"/>
          <w:sz w:val="24"/>
          <w:szCs w:val="26"/>
          <w:rtl/>
          <w:lang w:bidi="he-IL"/>
        </w:rPr>
        <w:t xml:space="preserve"> אם יש סמכות או אין, אני יוצא מנקודת הנחה שיש סמכות, אך אינני מוצא לנכון להתערב במיוחד כאשר המנהל רוצה לעשות צעדים נוספים. ניחא, אם אחרי שנים כל המהלך הזה לא </w:t>
      </w:r>
      <w:proofErr w:type="spellStart"/>
      <w:r>
        <w:rPr>
          <w:rFonts w:cs="David" w:hint="cs"/>
          <w:sz w:val="24"/>
          <w:szCs w:val="26"/>
          <w:rtl/>
          <w:lang w:bidi="he-IL"/>
        </w:rPr>
        <w:t>ישא</w:t>
      </w:r>
      <w:proofErr w:type="spellEnd"/>
      <w:r>
        <w:rPr>
          <w:rFonts w:cs="David" w:hint="cs"/>
          <w:sz w:val="24"/>
          <w:szCs w:val="26"/>
          <w:rtl/>
          <w:lang w:bidi="he-IL"/>
        </w:rPr>
        <w:t xml:space="preserve"> פרי, אדוני אז יוכל לומר כי אמנם לא היה מקום להורות למנהל לעשות את זה אך אז תוכלו לומר כי זה לא נשא פרי, אך בנקודת הזמן הנוכחי אדוני אומר כי זה </w:t>
      </w:r>
      <w:proofErr w:type="spellStart"/>
      <w:r>
        <w:rPr>
          <w:rFonts w:cs="David" w:hint="cs"/>
          <w:sz w:val="24"/>
          <w:szCs w:val="26"/>
          <w:rtl/>
          <w:lang w:bidi="he-IL"/>
        </w:rPr>
        <w:t>מחוייב</w:t>
      </w:r>
      <w:proofErr w:type="spellEnd"/>
      <w:r>
        <w:rPr>
          <w:rFonts w:cs="David" w:hint="cs"/>
          <w:sz w:val="24"/>
          <w:szCs w:val="26"/>
          <w:rtl/>
          <w:lang w:bidi="he-IL"/>
        </w:rPr>
        <w:t>, אין זה נכון.</w:t>
      </w:r>
    </w:p>
    <w:p w:rsidR="00EA0342" w:rsidRDefault="00EA0342" w:rsidP="00EA0342">
      <w:pPr>
        <w:pStyle w:val="ruller40"/>
        <w:rPr>
          <w:rFonts w:cs="David"/>
          <w:sz w:val="24"/>
          <w:szCs w:val="26"/>
          <w:rtl/>
          <w:lang w:bidi="he-IL"/>
        </w:rPr>
      </w:pPr>
    </w:p>
    <w:p w:rsidR="00EA0342" w:rsidRDefault="00EA0342" w:rsidP="00EA0342">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xml:space="preserve">: אינני טוען כי בכל מקרה שהחוקר יבקש בקשה לעיון כללי תינתן לו האפשרות הזו. </w:t>
      </w:r>
    </w:p>
    <w:p w:rsidR="00EA0342" w:rsidRDefault="00EA0342" w:rsidP="00EA0342">
      <w:pPr>
        <w:pStyle w:val="ruller40"/>
        <w:rPr>
          <w:rFonts w:cs="David"/>
          <w:sz w:val="24"/>
          <w:szCs w:val="26"/>
          <w:rtl/>
          <w:lang w:bidi="he-IL"/>
        </w:rPr>
      </w:pPr>
    </w:p>
    <w:p w:rsidR="00EA0342" w:rsidRDefault="00EA0342" w:rsidP="00EA0342">
      <w:pPr>
        <w:pStyle w:val="ruller40"/>
        <w:rPr>
          <w:rFonts w:cs="David"/>
          <w:sz w:val="24"/>
          <w:szCs w:val="26"/>
          <w:rtl/>
          <w:lang w:bidi="he-IL"/>
        </w:rPr>
      </w:pPr>
      <w:r w:rsidRPr="00EA0342">
        <w:rPr>
          <w:rFonts w:cs="David" w:hint="cs"/>
          <w:sz w:val="24"/>
          <w:szCs w:val="26"/>
          <w:rtl/>
          <w:lang w:bidi="he-IL"/>
        </w:rPr>
        <w:t xml:space="preserve">כבוד השופט ע' פוגלמן: </w:t>
      </w:r>
      <w:r>
        <w:rPr>
          <w:rFonts w:cs="David" w:hint="cs"/>
          <w:sz w:val="24"/>
          <w:szCs w:val="26"/>
          <w:rtl/>
          <w:lang w:bidi="he-IL"/>
        </w:rPr>
        <w:t xml:space="preserve"> אמרתי לאדוני, גם אם נניח יש אפשרות כזו, לא נתערב.</w:t>
      </w:r>
    </w:p>
    <w:p w:rsidR="00EA0342" w:rsidRDefault="00EA0342" w:rsidP="00EA0342">
      <w:pPr>
        <w:pStyle w:val="ruller40"/>
        <w:rPr>
          <w:rFonts w:cs="David"/>
          <w:sz w:val="24"/>
          <w:szCs w:val="26"/>
          <w:rtl/>
          <w:lang w:bidi="he-IL"/>
        </w:rPr>
      </w:pPr>
    </w:p>
    <w:p w:rsidR="00EA0342" w:rsidRDefault="00EA0342" w:rsidP="00EA0342">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אם הייתי מקבל תשובה פרטנית כחוקר.</w:t>
      </w:r>
    </w:p>
    <w:p w:rsidR="00EA0342" w:rsidRDefault="00EA0342" w:rsidP="00EA0342">
      <w:pPr>
        <w:pStyle w:val="ruller40"/>
        <w:rPr>
          <w:rFonts w:cs="David"/>
          <w:sz w:val="24"/>
          <w:szCs w:val="26"/>
          <w:rtl/>
          <w:lang w:bidi="he-IL"/>
        </w:rPr>
      </w:pPr>
    </w:p>
    <w:p w:rsidR="00EA0342" w:rsidRDefault="00EA0342" w:rsidP="00EA0342">
      <w:pPr>
        <w:pStyle w:val="ruller40"/>
        <w:rPr>
          <w:rFonts w:cs="David"/>
          <w:sz w:val="24"/>
          <w:szCs w:val="26"/>
          <w:rtl/>
          <w:lang w:bidi="he-IL"/>
        </w:rPr>
      </w:pPr>
      <w:r w:rsidRPr="00EA0342">
        <w:rPr>
          <w:rFonts w:cs="David" w:hint="cs"/>
          <w:sz w:val="24"/>
          <w:szCs w:val="26"/>
          <w:rtl/>
          <w:lang w:bidi="he-IL"/>
        </w:rPr>
        <w:t xml:space="preserve">כבוד השופט מ' מזוז: </w:t>
      </w:r>
      <w:r>
        <w:rPr>
          <w:rFonts w:cs="David" w:hint="cs"/>
          <w:sz w:val="24"/>
          <w:szCs w:val="26"/>
          <w:rtl/>
          <w:lang w:bidi="he-IL"/>
        </w:rPr>
        <w:t xml:space="preserve"> במקרה הזה המשמעות של שיקול הדעת של המנהל היא לא פרטנית. המשמעות של שיקול הדעת היא, שבנושא של ענייני משפחה לא יינתן היתר כללי. לא בגלל התיק המיוחד שפלוני מבקש, אלא בגלל כל המטריה הזו. לכן המקרה המיוחד הזה אין שום פער מעשי בין לומר שאין סמכות לבין לומר שבגדר הסמכות החלטה היא החלטה גורפת וכללית. לא נותנים היתר כללי. היא גורפת במובן הכללי ולא במובן של ההיתר הפרטני. כלומר גם אם לא היו התקנות, נקבע כי זו החלטה סבירה לומר כי לא נותנים היתר כללי לעיון בתיקי משפחה.</w:t>
      </w:r>
    </w:p>
    <w:p w:rsidR="00EA0342" w:rsidRDefault="00EA0342" w:rsidP="00EA0342">
      <w:pPr>
        <w:pStyle w:val="ruller40"/>
        <w:rPr>
          <w:rFonts w:cs="David"/>
          <w:sz w:val="24"/>
          <w:szCs w:val="26"/>
          <w:rtl/>
          <w:lang w:bidi="he-IL"/>
        </w:rPr>
      </w:pPr>
    </w:p>
    <w:p w:rsidR="00EA0342" w:rsidRDefault="00EA0342" w:rsidP="00EA0342">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xml:space="preserve">: מנהל בתי המשפט טוען כי אין לתת אפשרות לעיון בתיקי משפחה, לפי הנחיה 12א. </w:t>
      </w:r>
    </w:p>
    <w:p w:rsidR="00EA0342" w:rsidRDefault="00EA0342" w:rsidP="00EA0342">
      <w:pPr>
        <w:pStyle w:val="ruller40"/>
        <w:rPr>
          <w:rFonts w:cs="David"/>
          <w:sz w:val="24"/>
          <w:szCs w:val="26"/>
          <w:rtl/>
          <w:lang w:bidi="he-IL"/>
        </w:rPr>
      </w:pPr>
    </w:p>
    <w:p w:rsidR="00EA0342" w:rsidRDefault="00EA0342" w:rsidP="00EA0342">
      <w:pPr>
        <w:pStyle w:val="ruller40"/>
        <w:rPr>
          <w:rFonts w:cs="David"/>
          <w:sz w:val="24"/>
          <w:szCs w:val="26"/>
          <w:rtl/>
          <w:lang w:bidi="he-IL"/>
        </w:rPr>
      </w:pPr>
      <w:r w:rsidRPr="00EA0342">
        <w:rPr>
          <w:rFonts w:cs="David" w:hint="cs"/>
          <w:sz w:val="24"/>
          <w:szCs w:val="26"/>
          <w:rtl/>
          <w:lang w:bidi="he-IL"/>
        </w:rPr>
        <w:t xml:space="preserve">כבוד השופט מ' מזוז: </w:t>
      </w:r>
      <w:r>
        <w:rPr>
          <w:rFonts w:cs="David" w:hint="cs"/>
          <w:sz w:val="24"/>
          <w:szCs w:val="26"/>
          <w:rtl/>
          <w:lang w:bidi="he-IL"/>
        </w:rPr>
        <w:t xml:space="preserve"> פרטני זה יכול להיות על מספר תיקים. 12א זה כלל פנימי. </w:t>
      </w:r>
    </w:p>
    <w:p w:rsidR="00EA0342" w:rsidRDefault="00EA0342" w:rsidP="00EA0342">
      <w:pPr>
        <w:pStyle w:val="ruller40"/>
        <w:rPr>
          <w:rFonts w:cs="David"/>
          <w:sz w:val="24"/>
          <w:szCs w:val="26"/>
          <w:rtl/>
          <w:lang w:bidi="he-IL"/>
        </w:rPr>
      </w:pPr>
    </w:p>
    <w:p w:rsidR="00EA0342" w:rsidRDefault="00EA0342" w:rsidP="00EA0342">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xml:space="preserve">: אני מתכוון שהבחינה של כל מחקר צריכה להיות פרטנית. כרגע </w:t>
      </w:r>
      <w:proofErr w:type="spellStart"/>
      <w:r>
        <w:rPr>
          <w:rFonts w:cs="David" w:hint="cs"/>
          <w:sz w:val="24"/>
          <w:szCs w:val="26"/>
          <w:rtl/>
          <w:lang w:bidi="he-IL"/>
        </w:rPr>
        <w:t>הויכוח</w:t>
      </w:r>
      <w:proofErr w:type="spellEnd"/>
      <w:r>
        <w:rPr>
          <w:rFonts w:cs="David" w:hint="cs"/>
          <w:sz w:val="24"/>
          <w:szCs w:val="26"/>
          <w:rtl/>
          <w:lang w:bidi="he-IL"/>
        </w:rPr>
        <w:t xml:space="preserve"> בינינו זה עניין של סמכות. </w:t>
      </w:r>
    </w:p>
    <w:p w:rsidR="00EA0342" w:rsidRDefault="00EA0342" w:rsidP="00EA0342">
      <w:pPr>
        <w:pStyle w:val="ruller40"/>
        <w:rPr>
          <w:rFonts w:cs="David"/>
          <w:sz w:val="24"/>
          <w:szCs w:val="26"/>
          <w:rtl/>
          <w:lang w:bidi="he-IL"/>
        </w:rPr>
      </w:pPr>
    </w:p>
    <w:p w:rsidR="002C4A91" w:rsidRDefault="00EA0342" w:rsidP="001341EE">
      <w:pPr>
        <w:pStyle w:val="ruller40"/>
        <w:rPr>
          <w:rFonts w:cs="David"/>
          <w:sz w:val="24"/>
          <w:szCs w:val="26"/>
          <w:rtl/>
          <w:lang w:bidi="he-IL"/>
        </w:rPr>
      </w:pPr>
      <w:r>
        <w:rPr>
          <w:rFonts w:cs="David" w:hint="cs"/>
          <w:sz w:val="24"/>
          <w:szCs w:val="26"/>
          <w:rtl/>
          <w:lang w:bidi="he-IL"/>
        </w:rPr>
        <w:t xml:space="preserve">עו"ד שמואלי: אעדכן כי </w:t>
      </w:r>
      <w:proofErr w:type="spellStart"/>
      <w:r>
        <w:rPr>
          <w:rFonts w:cs="David" w:hint="cs"/>
          <w:sz w:val="24"/>
          <w:szCs w:val="26"/>
          <w:rtl/>
          <w:lang w:bidi="he-IL"/>
        </w:rPr>
        <w:t>היתה</w:t>
      </w:r>
      <w:proofErr w:type="spellEnd"/>
      <w:r>
        <w:rPr>
          <w:rFonts w:cs="David" w:hint="cs"/>
          <w:sz w:val="24"/>
          <w:szCs w:val="26"/>
          <w:rtl/>
          <w:lang w:bidi="he-IL"/>
        </w:rPr>
        <w:t xml:space="preserve"> התקדמות אחרי התגובה. דיברנו על כך שיציפו בבקשות לבקש עיון בתיקי משפחה. התקיימו דיונים בפורום של נשיא ביהמ"ש לענייני משפחה וגורמים נוספים. </w:t>
      </w:r>
      <w:r>
        <w:rPr>
          <w:rFonts w:cs="David" w:hint="cs"/>
          <w:sz w:val="24"/>
          <w:szCs w:val="26"/>
          <w:rtl/>
          <w:lang w:bidi="he-IL"/>
        </w:rPr>
        <w:lastRenderedPageBreak/>
        <w:t>נעשתה קונקרטיזציה. דובר על כך וזה אושר על ידי נשיא ביהמ"ש לענ</w:t>
      </w:r>
      <w:r w:rsidR="0031791C">
        <w:rPr>
          <w:rFonts w:cs="David" w:hint="cs"/>
          <w:sz w:val="24"/>
          <w:szCs w:val="26"/>
          <w:rtl/>
          <w:lang w:bidi="he-IL"/>
        </w:rPr>
        <w:t>י</w:t>
      </w:r>
      <w:r>
        <w:rPr>
          <w:rFonts w:cs="David" w:hint="cs"/>
          <w:sz w:val="24"/>
          <w:szCs w:val="26"/>
          <w:rtl/>
          <w:lang w:bidi="he-IL"/>
        </w:rPr>
        <w:t xml:space="preserve">יניי משפחה שכל שופט יפרסם לפחות פס"ד אחד בחודש. יש 70 שופטי משפחה. </w:t>
      </w:r>
    </w:p>
    <w:p w:rsidR="00EA0342" w:rsidRDefault="00EA0342" w:rsidP="001341EE">
      <w:pPr>
        <w:pStyle w:val="ruller40"/>
        <w:rPr>
          <w:rFonts w:cs="David"/>
          <w:sz w:val="24"/>
          <w:szCs w:val="26"/>
          <w:rtl/>
          <w:lang w:bidi="he-IL"/>
        </w:rPr>
      </w:pPr>
    </w:p>
    <w:p w:rsidR="00EA0342" w:rsidRDefault="00EA0342" w:rsidP="001341EE">
      <w:pPr>
        <w:pStyle w:val="ruller40"/>
        <w:rPr>
          <w:rFonts w:cs="David"/>
          <w:sz w:val="24"/>
          <w:szCs w:val="26"/>
          <w:rtl/>
          <w:lang w:bidi="he-IL"/>
        </w:rPr>
      </w:pPr>
      <w:r w:rsidRPr="00EA0342">
        <w:rPr>
          <w:rFonts w:cs="David" w:hint="cs"/>
          <w:sz w:val="24"/>
          <w:szCs w:val="26"/>
          <w:rtl/>
          <w:lang w:bidi="he-IL"/>
        </w:rPr>
        <w:t xml:space="preserve">כבוד השופט ע' פוגלמן: </w:t>
      </w:r>
      <w:r>
        <w:rPr>
          <w:rFonts w:cs="David" w:hint="cs"/>
          <w:sz w:val="24"/>
          <w:szCs w:val="26"/>
          <w:rtl/>
          <w:lang w:bidi="he-IL"/>
        </w:rPr>
        <w:t xml:space="preserve"> זו חשיבה ב"קטן". </w:t>
      </w:r>
      <w:r w:rsidR="0031791C">
        <w:rPr>
          <w:rFonts w:cs="David" w:hint="cs"/>
          <w:sz w:val="24"/>
          <w:szCs w:val="26"/>
          <w:rtl/>
          <w:lang w:bidi="he-IL"/>
        </w:rPr>
        <w:t xml:space="preserve"> אנו רואים כי אין מניעה בכל תיק ששופט ישקול להתיר או מה להתיר לעיון. </w:t>
      </w:r>
    </w:p>
    <w:p w:rsidR="0031791C" w:rsidRDefault="0031791C" w:rsidP="001341EE">
      <w:pPr>
        <w:pStyle w:val="ruller40"/>
        <w:rPr>
          <w:rFonts w:cs="David"/>
          <w:sz w:val="24"/>
          <w:szCs w:val="26"/>
          <w:rtl/>
          <w:lang w:bidi="he-IL"/>
        </w:rPr>
      </w:pPr>
    </w:p>
    <w:p w:rsidR="002C4A91" w:rsidRDefault="002C4A91" w:rsidP="001341EE">
      <w:pPr>
        <w:pStyle w:val="ruller40"/>
        <w:rPr>
          <w:rFonts w:cs="David"/>
          <w:sz w:val="24"/>
          <w:szCs w:val="26"/>
          <w:rtl/>
          <w:lang w:bidi="he-IL"/>
        </w:rPr>
      </w:pPr>
      <w:r>
        <w:rPr>
          <w:rFonts w:cs="David" w:hint="cs"/>
          <w:sz w:val="24"/>
          <w:szCs w:val="26"/>
          <w:rtl/>
          <w:lang w:bidi="he-IL"/>
        </w:rPr>
        <w:t>עו"ד שמואלי:</w:t>
      </w:r>
      <w:r w:rsidR="0031791C">
        <w:rPr>
          <w:rFonts w:cs="David" w:hint="cs"/>
          <w:sz w:val="24"/>
          <w:szCs w:val="26"/>
          <w:rtl/>
          <w:lang w:bidi="he-IL"/>
        </w:rPr>
        <w:t xml:space="preserve"> זה רק מינימום, ברור. הרעיון הוא להתחיל להניע את הדברים ולהנחיל את זה גם בביהמ"ש לענייני משפחה.</w:t>
      </w:r>
    </w:p>
    <w:p w:rsidR="0031791C" w:rsidRDefault="0031791C" w:rsidP="001341EE">
      <w:pPr>
        <w:pStyle w:val="ruller40"/>
        <w:rPr>
          <w:rFonts w:cs="David"/>
          <w:sz w:val="24"/>
          <w:szCs w:val="26"/>
          <w:rtl/>
          <w:lang w:bidi="he-IL"/>
        </w:rPr>
      </w:pPr>
    </w:p>
    <w:p w:rsidR="0031791C" w:rsidRDefault="0031791C" w:rsidP="001341EE">
      <w:pPr>
        <w:pStyle w:val="ruller40"/>
        <w:rPr>
          <w:rFonts w:cs="David"/>
          <w:sz w:val="24"/>
          <w:szCs w:val="26"/>
          <w:rtl/>
          <w:lang w:bidi="he-IL"/>
        </w:rPr>
      </w:pPr>
      <w:r w:rsidRPr="0031791C">
        <w:rPr>
          <w:rFonts w:cs="David" w:hint="cs"/>
          <w:sz w:val="24"/>
          <w:szCs w:val="26"/>
          <w:rtl/>
          <w:lang w:bidi="he-IL"/>
        </w:rPr>
        <w:t xml:space="preserve">כבוד השופט ע' פוגלמן: </w:t>
      </w:r>
      <w:r>
        <w:rPr>
          <w:rFonts w:cs="David" w:hint="cs"/>
          <w:sz w:val="24"/>
          <w:szCs w:val="26"/>
          <w:rtl/>
          <w:lang w:bidi="he-IL"/>
        </w:rPr>
        <w:t xml:space="preserve"> תצא הנחיה כתובה לשופטים:</w:t>
      </w:r>
    </w:p>
    <w:p w:rsidR="0031791C" w:rsidRDefault="0031791C" w:rsidP="001341EE">
      <w:pPr>
        <w:pStyle w:val="ruller40"/>
        <w:rPr>
          <w:rFonts w:cs="David"/>
          <w:sz w:val="24"/>
          <w:szCs w:val="26"/>
          <w:rtl/>
          <w:lang w:bidi="he-IL"/>
        </w:rPr>
      </w:pPr>
    </w:p>
    <w:p w:rsidR="0031791C" w:rsidRDefault="0031791C" w:rsidP="0031791C">
      <w:pPr>
        <w:pStyle w:val="ruller40"/>
        <w:rPr>
          <w:rFonts w:cs="David"/>
          <w:sz w:val="24"/>
          <w:szCs w:val="26"/>
          <w:rtl/>
          <w:lang w:bidi="he-IL"/>
        </w:rPr>
      </w:pPr>
      <w:r>
        <w:rPr>
          <w:rFonts w:cs="David" w:hint="cs"/>
          <w:sz w:val="24"/>
          <w:szCs w:val="26"/>
          <w:rtl/>
          <w:lang w:bidi="he-IL"/>
        </w:rPr>
        <w:t>עו"ד שמואלי: ברמת ההנחיות אנו נזהרים כי יש כאן עניין של עצמאות. אם זה התקבל באמצעות נשיא בימ"ש לענייני משפחה נראה לי כי יש לתת לזה הזדמנות. זו בשורה משמחת. השופטים באמת יניעו את המהלך הזה. אנו נשמח להערת כבודכם שבתום הליך אפשר לבחון בדיעבד, וזה פס"ד יצחק והאחרים שהזכרנו.</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sidRPr="0031791C">
        <w:rPr>
          <w:rFonts w:cs="David" w:hint="cs"/>
          <w:sz w:val="24"/>
          <w:szCs w:val="26"/>
          <w:rtl/>
          <w:lang w:bidi="he-IL"/>
        </w:rPr>
        <w:t xml:space="preserve">כבוד השופט ע' פוגלמן: </w:t>
      </w:r>
      <w:r>
        <w:rPr>
          <w:rFonts w:cs="David" w:hint="cs"/>
          <w:sz w:val="24"/>
          <w:szCs w:val="26"/>
          <w:rtl/>
          <w:lang w:bidi="he-IL"/>
        </w:rPr>
        <w:t xml:space="preserve"> בבימ"ש זה </w:t>
      </w:r>
      <w:proofErr w:type="spellStart"/>
      <w:r>
        <w:rPr>
          <w:rFonts w:cs="David" w:hint="cs"/>
          <w:sz w:val="24"/>
          <w:szCs w:val="26"/>
          <w:rtl/>
          <w:lang w:bidi="he-IL"/>
        </w:rPr>
        <w:t>זה</w:t>
      </w:r>
      <w:proofErr w:type="spellEnd"/>
      <w:r>
        <w:rPr>
          <w:rFonts w:cs="David" w:hint="cs"/>
          <w:sz w:val="24"/>
          <w:szCs w:val="26"/>
          <w:rtl/>
          <w:lang w:bidi="he-IL"/>
        </w:rPr>
        <w:t xml:space="preserve"> חלק מהדין. יש אפשרות לשופט לפני שהוא כותב פס"ד או החלטה, אם זה משהו שצריך להתפרסם חוץ מהשמות ופרטים מזהים, זה לא דבר מסובך להיערך לכך כל עוד יש לך את הרעיון  שיש חשיבות שפסה"ד יפורסמו. הציבור המעוניין ועורכי הדין רוצים לדעת על הפסיקה. </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Pr>
          <w:rFonts w:cs="David" w:hint="cs"/>
          <w:sz w:val="24"/>
          <w:szCs w:val="26"/>
          <w:rtl/>
          <w:lang w:bidi="he-IL"/>
        </w:rPr>
        <w:t xml:space="preserve">עו"ד שמואלי: לכן לא חלקנו על הצורך. יש עניין של שינוי ארגוני ותרבותי יש להטמיע את זה ולהרחיבו. אלו הצעדים הפנימיים שנעשו בתיאום עם שופטי המשפחה. </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sidRPr="0031791C">
        <w:rPr>
          <w:rFonts w:cs="David" w:hint="cs"/>
          <w:sz w:val="24"/>
          <w:szCs w:val="26"/>
          <w:rtl/>
          <w:lang w:bidi="he-IL"/>
        </w:rPr>
        <w:t xml:space="preserve">כבוד השופט מ' מזוז: </w:t>
      </w:r>
      <w:r>
        <w:rPr>
          <w:rFonts w:cs="David" w:hint="cs"/>
          <w:sz w:val="24"/>
          <w:szCs w:val="26"/>
          <w:rtl/>
          <w:lang w:bidi="he-IL"/>
        </w:rPr>
        <w:t xml:space="preserve"> נראה לי שצריך לקבוע נקודה מסוימת לעשות הערכת מצב. זה לא נראה פתרון נכון לאורך זמן. יכול להיות כי זה פתרון טוב כדי להתחיל להניח את ההליך ולהרגיל את השופטים שכל פס"ד בעל משמעות יאפשרו את הפרסום שלו. צריך לקבוע לצד זה שנניח לאחר 6 חודשים תיעשה הערכת מצב ואז לעבור לשלב ב'. </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Pr>
          <w:rFonts w:cs="David" w:hint="cs"/>
          <w:sz w:val="24"/>
          <w:szCs w:val="26"/>
          <w:rtl/>
          <w:lang w:bidi="he-IL"/>
        </w:rPr>
        <w:t xml:space="preserve">עו"ד שמואלי: זה הוגדר כפיילוט. לא תהיה חובה רק בפס"ד אחד. רוצים להטמיע את העניין הארגוני תפיסתי הזה אצל השופטים. השד לא נורא, אפשר לאפשר זאת גם בביהמ"ש לענייני משפחה ללא פרטים מזהים להסתיר את הפרטים ואת המקצוע למשל.  אני מסכימה כי פרטים </w:t>
      </w:r>
      <w:proofErr w:type="spellStart"/>
      <w:r>
        <w:rPr>
          <w:rFonts w:cs="David" w:hint="cs"/>
          <w:sz w:val="24"/>
          <w:szCs w:val="26"/>
          <w:rtl/>
          <w:lang w:bidi="he-IL"/>
        </w:rPr>
        <w:t>מסויימים</w:t>
      </w:r>
      <w:proofErr w:type="spellEnd"/>
      <w:r>
        <w:rPr>
          <w:rFonts w:cs="David" w:hint="cs"/>
          <w:sz w:val="24"/>
          <w:szCs w:val="26"/>
          <w:rtl/>
          <w:lang w:bidi="he-IL"/>
        </w:rPr>
        <w:t xml:space="preserve"> אפשר לזהות ולהטמיע אותם.</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sidRPr="0031791C">
        <w:rPr>
          <w:rFonts w:cs="David" w:hint="cs"/>
          <w:sz w:val="24"/>
          <w:szCs w:val="26"/>
          <w:rtl/>
          <w:lang w:bidi="he-IL"/>
        </w:rPr>
        <w:t xml:space="preserve">כבוד השופט ע' פוגלמן: </w:t>
      </w:r>
      <w:r>
        <w:rPr>
          <w:rFonts w:cs="David" w:hint="cs"/>
          <w:sz w:val="24"/>
          <w:szCs w:val="26"/>
          <w:rtl/>
          <w:lang w:bidi="he-IL"/>
        </w:rPr>
        <w:t xml:space="preserve"> יש כאלה שלא צריך להיכנס לרזולוציות וזה מקל שלא מפרסמים פרטים מזהים. איננו מקבלים ראש, אך עדיין כמו גם בתיקים פליליים ישנם מקרים של פרסום וישנם שלא.</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Pr>
          <w:rFonts w:cs="David" w:hint="cs"/>
          <w:sz w:val="24"/>
          <w:szCs w:val="26"/>
          <w:rtl/>
          <w:lang w:bidi="he-IL"/>
        </w:rPr>
        <w:t>עו"ד שמואלי: לא התייחסתי לגוף העניין לאור הערות כבודכם. הדברים גם כתובים.</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xml:space="preserve">: מדובר על פס"ד אחד לחודש ואני יודע כי כל שופט נותן יותר מפסק דין אחד לחודש. </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sidRPr="0031791C">
        <w:rPr>
          <w:rFonts w:cs="David" w:hint="cs"/>
          <w:sz w:val="24"/>
          <w:szCs w:val="26"/>
          <w:rtl/>
          <w:lang w:bidi="he-IL"/>
        </w:rPr>
        <w:t xml:space="preserve">כבוד השופט מ' מזוז: </w:t>
      </w:r>
      <w:r>
        <w:rPr>
          <w:rFonts w:cs="David" w:hint="cs"/>
          <w:sz w:val="24"/>
          <w:szCs w:val="26"/>
          <w:rtl/>
          <w:lang w:bidi="he-IL"/>
        </w:rPr>
        <w:t xml:space="preserve"> זה רק בשלב מאוד ראשוני. פסה"ד האחד יהיה פסה"ד היותר משמעותי. רוב פסה"ד הם טכניים ולא כולם הם מורכבים. אם יהיה יותר מפס"ד אחד משמעותי זה יהיה התהליך שיישקל אל מול המצב הקיים בו לא התפרסם כמעט כלום. אם יתפרסמו בשלב הראשון מאות פס"ד זה שינוי דרמטי. </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כל שופט יצטרך לשקול אם לפרסם או לא.</w:t>
      </w:r>
    </w:p>
    <w:p w:rsidR="0031791C" w:rsidRDefault="0031791C" w:rsidP="0031791C">
      <w:pPr>
        <w:pStyle w:val="ruller40"/>
        <w:rPr>
          <w:rFonts w:cs="David"/>
          <w:sz w:val="24"/>
          <w:szCs w:val="26"/>
          <w:rtl/>
          <w:lang w:bidi="he-IL"/>
        </w:rPr>
      </w:pPr>
    </w:p>
    <w:p w:rsidR="0031791C" w:rsidRDefault="0031791C" w:rsidP="00821C31">
      <w:pPr>
        <w:pStyle w:val="ruller40"/>
        <w:rPr>
          <w:rFonts w:cs="David"/>
          <w:sz w:val="24"/>
          <w:szCs w:val="26"/>
          <w:rtl/>
          <w:lang w:bidi="he-IL"/>
        </w:rPr>
      </w:pPr>
      <w:r w:rsidRPr="0031791C">
        <w:rPr>
          <w:rFonts w:cs="David" w:hint="cs"/>
          <w:sz w:val="24"/>
          <w:szCs w:val="26"/>
          <w:rtl/>
          <w:lang w:bidi="he-IL"/>
        </w:rPr>
        <w:t xml:space="preserve">כבוד השופט ע' פוגלמן: </w:t>
      </w:r>
      <w:r w:rsidR="00821C31">
        <w:rPr>
          <w:rFonts w:cs="David" w:hint="cs"/>
          <w:sz w:val="24"/>
          <w:szCs w:val="26"/>
          <w:rtl/>
          <w:lang w:bidi="he-IL"/>
        </w:rPr>
        <w:t>א</w:t>
      </w:r>
      <w:r>
        <w:rPr>
          <w:rFonts w:cs="David" w:hint="cs"/>
          <w:sz w:val="24"/>
          <w:szCs w:val="26"/>
          <w:rtl/>
          <w:lang w:bidi="he-IL"/>
        </w:rPr>
        <w:t>נו מציעים כי לא תעמדו על העתירה. תשמרו את הטענות לגבי העתיד. אם המהלך הזה לא ישביע את רצונו של אדוני, יוכל הוא לפנות בהמשך בעתירה חדשה.</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אולי אפשר להמתין כמה חודשים עד לתחילת המהלך.</w:t>
      </w:r>
    </w:p>
    <w:p w:rsidR="0031791C" w:rsidRDefault="0031791C" w:rsidP="0031791C">
      <w:pPr>
        <w:pStyle w:val="ruller40"/>
        <w:rPr>
          <w:rFonts w:cs="David"/>
          <w:sz w:val="24"/>
          <w:szCs w:val="26"/>
          <w:rtl/>
          <w:lang w:bidi="he-IL"/>
        </w:rPr>
      </w:pPr>
    </w:p>
    <w:p w:rsidR="0031791C" w:rsidRDefault="0031791C" w:rsidP="006525F7">
      <w:pPr>
        <w:pStyle w:val="ruller40"/>
        <w:rPr>
          <w:rFonts w:cs="David"/>
          <w:sz w:val="24"/>
          <w:szCs w:val="26"/>
          <w:rtl/>
          <w:lang w:bidi="he-IL"/>
        </w:rPr>
      </w:pPr>
      <w:r w:rsidRPr="0031791C">
        <w:rPr>
          <w:rFonts w:cs="David" w:hint="cs"/>
          <w:sz w:val="24"/>
          <w:szCs w:val="26"/>
          <w:rtl/>
          <w:lang w:bidi="he-IL"/>
        </w:rPr>
        <w:t xml:space="preserve">כבוד השופט ע' פוגלמן: </w:t>
      </w:r>
      <w:r>
        <w:rPr>
          <w:rFonts w:cs="David" w:hint="cs"/>
          <w:sz w:val="24"/>
          <w:szCs w:val="26"/>
          <w:rtl/>
          <w:lang w:bidi="he-IL"/>
        </w:rPr>
        <w:t xml:space="preserve"> אנו לא משאירים תיקים תלויים ועומדים.</w:t>
      </w:r>
      <w:r w:rsidR="006525F7">
        <w:rPr>
          <w:rFonts w:cs="David" w:hint="cs"/>
          <w:sz w:val="24"/>
          <w:szCs w:val="26"/>
          <w:rtl/>
          <w:lang w:bidi="he-IL"/>
        </w:rPr>
        <w:t xml:space="preserve"> למעשה </w:t>
      </w:r>
      <w:r>
        <w:rPr>
          <w:rFonts w:cs="David" w:hint="cs"/>
          <w:sz w:val="24"/>
          <w:szCs w:val="26"/>
          <w:rtl/>
          <w:lang w:bidi="he-IL"/>
        </w:rPr>
        <w:t xml:space="preserve">לא קבענו אם אין סמכות או </w:t>
      </w:r>
      <w:r w:rsidR="006525F7">
        <w:rPr>
          <w:rFonts w:cs="David" w:hint="cs"/>
          <w:sz w:val="24"/>
          <w:szCs w:val="26"/>
          <w:rtl/>
          <w:lang w:bidi="he-IL"/>
        </w:rPr>
        <w:t>ו</w:t>
      </w:r>
      <w:r>
        <w:rPr>
          <w:rFonts w:cs="David" w:hint="cs"/>
          <w:sz w:val="24"/>
          <w:szCs w:val="26"/>
          <w:rtl/>
          <w:lang w:bidi="he-IL"/>
        </w:rPr>
        <w:t>לא. אמרנו כי גם אם יש סמכות יש כאן מהלך שרוצים לבחון. יש כאן כל מיני רבדים, בשלב הנוכחי לדעתי, זה המקום לסיים את זה. אנו מציעים כי אדוני יסכים למה שנאמר כאן.</w:t>
      </w:r>
    </w:p>
    <w:p w:rsidR="0031791C" w:rsidRDefault="0031791C" w:rsidP="0031791C">
      <w:pPr>
        <w:pStyle w:val="ruller40"/>
        <w:rPr>
          <w:rFonts w:cs="David"/>
          <w:sz w:val="24"/>
          <w:szCs w:val="26"/>
          <w:rtl/>
          <w:lang w:bidi="he-IL"/>
        </w:rPr>
      </w:pPr>
    </w:p>
    <w:p w:rsidR="0031791C" w:rsidRDefault="0031791C" w:rsidP="0031791C">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אצא להתייעצות.</w:t>
      </w:r>
    </w:p>
    <w:p w:rsidR="0031791C" w:rsidRDefault="0031791C" w:rsidP="0031791C">
      <w:pPr>
        <w:pStyle w:val="ruller40"/>
        <w:rPr>
          <w:rFonts w:cs="David"/>
          <w:sz w:val="24"/>
          <w:szCs w:val="26"/>
          <w:rtl/>
          <w:lang w:bidi="he-IL"/>
        </w:rPr>
      </w:pPr>
    </w:p>
    <w:p w:rsidR="0031791C" w:rsidRDefault="006525F7" w:rsidP="0031791C">
      <w:pPr>
        <w:pStyle w:val="ruller40"/>
        <w:rPr>
          <w:rFonts w:cs="David"/>
          <w:sz w:val="24"/>
          <w:szCs w:val="26"/>
          <w:rtl/>
          <w:lang w:bidi="he-IL"/>
        </w:rPr>
      </w:pPr>
      <w:r>
        <w:rPr>
          <w:rFonts w:cs="David" w:hint="cs"/>
          <w:sz w:val="24"/>
          <w:szCs w:val="26"/>
          <w:rtl/>
          <w:lang w:bidi="he-IL"/>
        </w:rPr>
        <w:t>לאחר הפסקה.</w:t>
      </w:r>
    </w:p>
    <w:p w:rsidR="0031791C" w:rsidRDefault="0031791C" w:rsidP="0031791C">
      <w:pPr>
        <w:pStyle w:val="ruller40"/>
        <w:rPr>
          <w:rFonts w:cs="David"/>
          <w:sz w:val="24"/>
          <w:szCs w:val="26"/>
          <w:rtl/>
          <w:lang w:bidi="he-IL"/>
        </w:rPr>
      </w:pPr>
    </w:p>
    <w:p w:rsidR="006525F7" w:rsidRDefault="00852C9F" w:rsidP="0031791C">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נועצתי עם מרשי</w:t>
      </w:r>
      <w:r w:rsidR="00322029">
        <w:rPr>
          <w:rFonts w:cs="David" w:hint="cs"/>
          <w:sz w:val="24"/>
          <w:szCs w:val="26"/>
          <w:rtl/>
          <w:lang w:bidi="he-IL"/>
        </w:rPr>
        <w:t>י</w:t>
      </w:r>
      <w:r>
        <w:rPr>
          <w:rFonts w:cs="David" w:hint="cs"/>
          <w:sz w:val="24"/>
          <w:szCs w:val="26"/>
          <w:rtl/>
          <w:lang w:bidi="he-IL"/>
        </w:rPr>
        <w:t>. אנו מקבלים את המלצת כבודכם</w:t>
      </w:r>
      <w:r w:rsidR="006525F7">
        <w:rPr>
          <w:rFonts w:cs="David" w:hint="cs"/>
          <w:sz w:val="24"/>
          <w:szCs w:val="26"/>
          <w:rtl/>
          <w:lang w:bidi="he-IL"/>
        </w:rPr>
        <w:t xml:space="preserve"> ואנו מבקשים כי בכפוף להסכמת מרשיי אנו מבקשים לומר כי זה יביא לשינוי משמעותי. ציפור לחשה לי על המכתב שנשלח לשופטים. הנוסח שם הוא מאוד "חלבי". לדעתי צריך להיות ברור כי דברים צריכים להיות מפורסמים.</w:t>
      </w:r>
    </w:p>
    <w:p w:rsidR="006525F7" w:rsidRDefault="006525F7" w:rsidP="0031791C">
      <w:pPr>
        <w:pStyle w:val="ruller40"/>
        <w:rPr>
          <w:rFonts w:cs="David"/>
          <w:sz w:val="24"/>
          <w:szCs w:val="26"/>
          <w:rtl/>
          <w:lang w:bidi="he-IL"/>
        </w:rPr>
      </w:pPr>
    </w:p>
    <w:p w:rsidR="006525F7" w:rsidRDefault="006525F7" w:rsidP="0031791C">
      <w:pPr>
        <w:pStyle w:val="ruller40"/>
        <w:rPr>
          <w:rFonts w:cs="David"/>
          <w:sz w:val="24"/>
          <w:szCs w:val="26"/>
          <w:rtl/>
          <w:lang w:bidi="he-IL"/>
        </w:rPr>
      </w:pPr>
      <w:r w:rsidRPr="006525F7">
        <w:rPr>
          <w:rFonts w:cs="David" w:hint="cs"/>
          <w:sz w:val="24"/>
          <w:szCs w:val="26"/>
          <w:rtl/>
          <w:lang w:bidi="he-IL"/>
        </w:rPr>
        <w:t xml:space="preserve">כבוד השופט ע' פוגלמן: </w:t>
      </w:r>
      <w:r>
        <w:rPr>
          <w:rFonts w:cs="David" w:hint="cs"/>
          <w:sz w:val="24"/>
          <w:szCs w:val="26"/>
          <w:rtl/>
          <w:lang w:bidi="he-IL"/>
        </w:rPr>
        <w:t xml:space="preserve"> איננו נכנסים לרזולוציות כאלה.</w:t>
      </w:r>
    </w:p>
    <w:p w:rsidR="006525F7" w:rsidRDefault="006525F7" w:rsidP="0031791C">
      <w:pPr>
        <w:pStyle w:val="ruller40"/>
        <w:rPr>
          <w:rFonts w:cs="David"/>
          <w:sz w:val="24"/>
          <w:szCs w:val="26"/>
          <w:rtl/>
          <w:lang w:bidi="he-IL"/>
        </w:rPr>
      </w:pPr>
    </w:p>
    <w:p w:rsidR="006525F7" w:rsidRDefault="006525F7" w:rsidP="0031791C">
      <w:pPr>
        <w:pStyle w:val="ruller40"/>
        <w:rPr>
          <w:rFonts w:cs="David"/>
          <w:sz w:val="24"/>
          <w:szCs w:val="26"/>
          <w:rtl/>
          <w:lang w:bidi="he-IL"/>
        </w:rPr>
      </w:pPr>
      <w:r>
        <w:rPr>
          <w:rFonts w:cs="David" w:hint="cs"/>
          <w:sz w:val="24"/>
          <w:szCs w:val="26"/>
          <w:rtl/>
          <w:lang w:bidi="he-IL"/>
        </w:rPr>
        <w:t xml:space="preserve">עו"ד שמואלי: אני לא ראיתי את זה. </w:t>
      </w:r>
    </w:p>
    <w:p w:rsidR="006525F7" w:rsidRDefault="006525F7" w:rsidP="0031791C">
      <w:pPr>
        <w:pStyle w:val="ruller40"/>
        <w:rPr>
          <w:rFonts w:cs="David"/>
          <w:sz w:val="24"/>
          <w:szCs w:val="26"/>
          <w:rtl/>
          <w:lang w:bidi="he-IL"/>
        </w:rPr>
      </w:pPr>
    </w:p>
    <w:p w:rsidR="006525F7" w:rsidRDefault="006525F7" w:rsidP="006525F7">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xml:space="preserve">: אפנה </w:t>
      </w:r>
      <w:proofErr w:type="spellStart"/>
      <w:r>
        <w:rPr>
          <w:rFonts w:cs="David" w:hint="cs"/>
          <w:sz w:val="24"/>
          <w:szCs w:val="26"/>
          <w:rtl/>
          <w:lang w:bidi="he-IL"/>
        </w:rPr>
        <w:t>לסע</w:t>
      </w:r>
      <w:proofErr w:type="spellEnd"/>
      <w:r>
        <w:rPr>
          <w:rFonts w:cs="David" w:hint="cs"/>
          <w:sz w:val="24"/>
          <w:szCs w:val="26"/>
          <w:rtl/>
          <w:lang w:bidi="he-IL"/>
        </w:rPr>
        <w:t>' 46 בשנית. אנו מבקשים כי זה יבוא לידי ביטוי וכן יבוצע. שהעותרים יקבלו מספרי תיקים ושהבקשות יהיו פרטניות לרוב. נראה לנו כי צריך גם לקבוע לוחות זמנים.</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sidRPr="006525F7">
        <w:rPr>
          <w:rFonts w:cs="David" w:hint="cs"/>
          <w:sz w:val="24"/>
          <w:szCs w:val="26"/>
          <w:rtl/>
          <w:lang w:bidi="he-IL"/>
        </w:rPr>
        <w:t xml:space="preserve">כבוד השופט ע' פוגלמן: </w:t>
      </w:r>
      <w:r>
        <w:rPr>
          <w:rFonts w:cs="David" w:hint="cs"/>
          <w:sz w:val="24"/>
          <w:szCs w:val="26"/>
          <w:rtl/>
          <w:lang w:bidi="he-IL"/>
        </w:rPr>
        <w:t xml:space="preserve"> זמן סביר ובמהירות הראויה.</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אפנה למחקרים של העותרים.</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Pr>
          <w:rFonts w:cs="David" w:hint="cs"/>
          <w:sz w:val="24"/>
          <w:szCs w:val="26"/>
          <w:rtl/>
          <w:lang w:bidi="he-IL"/>
        </w:rPr>
        <w:t xml:space="preserve">עו"ד שמואלי: הם צריכים להעביר פניה עדכנית לשופטים. זה מתייחס רק לפסק דין ולא לכתבי טענות. </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sidRPr="006525F7">
        <w:rPr>
          <w:rFonts w:cs="David" w:hint="cs"/>
          <w:sz w:val="24"/>
          <w:szCs w:val="26"/>
          <w:rtl/>
          <w:lang w:bidi="he-IL"/>
        </w:rPr>
        <w:t xml:space="preserve">כבוד השופט מ' מזוז: </w:t>
      </w:r>
      <w:r>
        <w:rPr>
          <w:rFonts w:cs="David" w:hint="cs"/>
          <w:sz w:val="24"/>
          <w:szCs w:val="26"/>
          <w:rtl/>
          <w:lang w:bidi="he-IL"/>
        </w:rPr>
        <w:t xml:space="preserve"> ההרשמות שלנו שאין מחלוקת לגופו של עניין. הם רוצים לעזור חושבים כי נכון לעשות את זה, ואין כאן מצב עימותי. תידברו ביניכם. המערכת מבינה את הצורך לא רק בגלל הפניה הקונקרטית שלכם אלא באופן מערכתי הצורך להניע את התהליך של לפרסם יותר פס"ד והחלטות של בימ"ש לענייני משפחה. זה לא רק לחוקרים אלא לציבור בכלל. אם יהיו רעיונות תוכלו לפנות ולומר אותם.</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אצל חלק מהשופטים בביהמ"ש לענייני משפחה אין להם את התודעה הזו.</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sidRPr="006525F7">
        <w:rPr>
          <w:rFonts w:cs="David" w:hint="cs"/>
          <w:sz w:val="24"/>
          <w:szCs w:val="26"/>
          <w:rtl/>
          <w:lang w:bidi="he-IL"/>
        </w:rPr>
        <w:t xml:space="preserve">כבוד השופט מ' מזוז: </w:t>
      </w:r>
      <w:r>
        <w:rPr>
          <w:rFonts w:cs="David" w:hint="cs"/>
          <w:sz w:val="24"/>
          <w:szCs w:val="26"/>
          <w:rtl/>
          <w:lang w:bidi="he-IL"/>
        </w:rPr>
        <w:t xml:space="preserve"> כפי שחברי </w:t>
      </w:r>
      <w:proofErr w:type="spellStart"/>
      <w:r>
        <w:rPr>
          <w:rFonts w:cs="David" w:hint="cs"/>
          <w:sz w:val="24"/>
          <w:szCs w:val="26"/>
          <w:rtl/>
          <w:lang w:bidi="he-IL"/>
        </w:rPr>
        <w:t>האב"ד</w:t>
      </w:r>
      <w:proofErr w:type="spellEnd"/>
      <w:r>
        <w:rPr>
          <w:rFonts w:cs="David" w:hint="cs"/>
          <w:sz w:val="24"/>
          <w:szCs w:val="26"/>
          <w:rtl/>
          <w:lang w:bidi="he-IL"/>
        </w:rPr>
        <w:t xml:space="preserve"> אמר, כל שופט הוא שופט. </w:t>
      </w:r>
      <w:proofErr w:type="spellStart"/>
      <w:r>
        <w:rPr>
          <w:rFonts w:cs="David" w:hint="cs"/>
          <w:sz w:val="24"/>
          <w:szCs w:val="26"/>
          <w:rtl/>
          <w:lang w:bidi="he-IL"/>
        </w:rPr>
        <w:t>יקח</w:t>
      </w:r>
      <w:proofErr w:type="spellEnd"/>
      <w:r>
        <w:rPr>
          <w:rFonts w:cs="David" w:hint="cs"/>
          <w:sz w:val="24"/>
          <w:szCs w:val="26"/>
          <w:rtl/>
          <w:lang w:bidi="he-IL"/>
        </w:rPr>
        <w:t xml:space="preserve"> זמן אולי בפרקטיקה, אולי בהתחלה זה "יחרוק" ואח"כ זה ייכנס למסלול. </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יש שופטים ששום פסק דין שלהם לא פורסם.</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sidRPr="006525F7">
        <w:rPr>
          <w:rFonts w:cs="David" w:hint="cs"/>
          <w:sz w:val="24"/>
          <w:szCs w:val="26"/>
          <w:rtl/>
          <w:lang w:bidi="he-IL"/>
        </w:rPr>
        <w:t xml:space="preserve">כבוד השופט ע' פוגלמן: </w:t>
      </w:r>
      <w:r>
        <w:rPr>
          <w:rFonts w:cs="David" w:hint="cs"/>
          <w:sz w:val="24"/>
          <w:szCs w:val="26"/>
          <w:rtl/>
          <w:lang w:bidi="he-IL"/>
        </w:rPr>
        <w:t>בביהמ"ש לענייני משפחה התקבלה החלטה אחרת והשינוי הזה הוא תהליך שמתחילה אותו הנהלת בתי המשפט. לצד העצמאות השיפוטית גם המערכת שוקלת זאת ותנסה את המהלך הזה. כל האינטרסים הם ברורים.</w:t>
      </w:r>
    </w:p>
    <w:p w:rsidR="006525F7" w:rsidRDefault="006525F7" w:rsidP="006525F7">
      <w:pPr>
        <w:pStyle w:val="ruller40"/>
        <w:rPr>
          <w:rFonts w:cs="David"/>
          <w:sz w:val="24"/>
          <w:szCs w:val="26"/>
          <w:rtl/>
          <w:lang w:bidi="he-IL"/>
        </w:rPr>
      </w:pPr>
    </w:p>
    <w:p w:rsidR="006525F7" w:rsidRDefault="006525F7" w:rsidP="006525F7">
      <w:pPr>
        <w:pStyle w:val="ruller40"/>
        <w:rPr>
          <w:rFonts w:cs="David"/>
          <w:sz w:val="24"/>
          <w:szCs w:val="26"/>
          <w:rtl/>
          <w:lang w:bidi="he-IL"/>
        </w:rPr>
      </w:pPr>
      <w:r>
        <w:rPr>
          <w:rFonts w:cs="David" w:hint="cs"/>
          <w:sz w:val="24"/>
          <w:szCs w:val="26"/>
          <w:rtl/>
          <w:lang w:bidi="he-IL"/>
        </w:rPr>
        <w:t xml:space="preserve">עו"ד </w:t>
      </w:r>
      <w:proofErr w:type="spellStart"/>
      <w:r>
        <w:rPr>
          <w:rFonts w:cs="David" w:hint="cs"/>
          <w:sz w:val="24"/>
          <w:szCs w:val="26"/>
          <w:rtl/>
          <w:lang w:bidi="he-IL"/>
        </w:rPr>
        <w:t>זילברברג</w:t>
      </w:r>
      <w:proofErr w:type="spellEnd"/>
      <w:r>
        <w:rPr>
          <w:rFonts w:cs="David" w:hint="cs"/>
          <w:sz w:val="24"/>
          <w:szCs w:val="26"/>
          <w:rtl/>
          <w:lang w:bidi="he-IL"/>
        </w:rPr>
        <w:t>: אני מבקש כי הדברים יקבלו ביטוי גם בפסה"ד של כבודכם.</w:t>
      </w:r>
    </w:p>
    <w:p w:rsidR="006525F7" w:rsidRDefault="006525F7" w:rsidP="006525F7">
      <w:pPr>
        <w:pStyle w:val="ruller40"/>
        <w:rPr>
          <w:rFonts w:cs="David"/>
          <w:sz w:val="24"/>
          <w:szCs w:val="26"/>
          <w:rtl/>
          <w:lang w:bidi="he-IL"/>
        </w:rPr>
      </w:pPr>
    </w:p>
    <w:p w:rsidR="00852C9F" w:rsidRDefault="00852C9F" w:rsidP="0031791C">
      <w:pPr>
        <w:pStyle w:val="ruller40"/>
        <w:rPr>
          <w:rFonts w:cs="David"/>
          <w:sz w:val="24"/>
          <w:szCs w:val="26"/>
          <w:rtl/>
          <w:lang w:bidi="he-IL"/>
        </w:rPr>
      </w:pPr>
      <w:r>
        <w:rPr>
          <w:rFonts w:cs="David" w:hint="cs"/>
          <w:sz w:val="24"/>
          <w:szCs w:val="26"/>
          <w:rtl/>
          <w:lang w:bidi="he-IL"/>
        </w:rPr>
        <w:t>ניתן פסק דין.</w:t>
      </w:r>
    </w:p>
    <w:p w:rsidR="00852C9F" w:rsidRDefault="00852C9F" w:rsidP="0031791C">
      <w:pPr>
        <w:pStyle w:val="ruller40"/>
        <w:rPr>
          <w:rFonts w:cs="David"/>
          <w:sz w:val="24"/>
          <w:szCs w:val="26"/>
          <w:rtl/>
          <w:lang w:bidi="he-IL"/>
        </w:rPr>
      </w:pPr>
    </w:p>
    <w:p w:rsidR="00852C9F" w:rsidRDefault="00852C9F" w:rsidP="0031791C">
      <w:pPr>
        <w:pStyle w:val="ruller40"/>
        <w:rPr>
          <w:rFonts w:cs="David"/>
          <w:sz w:val="18"/>
          <w:szCs w:val="20"/>
          <w:rtl/>
          <w:lang w:bidi="he-IL"/>
        </w:rPr>
      </w:pPr>
      <w:r w:rsidRPr="00852C9F">
        <w:rPr>
          <w:rFonts w:cs="David" w:hint="cs"/>
          <w:sz w:val="18"/>
          <w:szCs w:val="20"/>
          <w:rtl/>
          <w:lang w:bidi="he-IL"/>
        </w:rPr>
        <w:t>קלדנית: רונית</w:t>
      </w:r>
    </w:p>
    <w:sectPr w:rsidR="00852C9F" w:rsidSect="00292350">
      <w:type w:val="continuous"/>
      <w:pgSz w:w="11907" w:h="16840"/>
      <w:pgMar w:top="1138" w:right="1138" w:bottom="1138" w:left="1138" w:header="706" w:footer="706" w:gutter="0"/>
      <w:lnNumType w:countBy="1"/>
      <w:cols w:space="7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450E" w:rsidRDefault="00E9450E">
      <w:r>
        <w:separator/>
      </w:r>
    </w:p>
  </w:endnote>
  <w:endnote w:type="continuationSeparator" w:id="0">
    <w:p w:rsidR="00E9450E" w:rsidRDefault="00E94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TUR">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7FE" w:rsidRDefault="006A47FE" w:rsidP="00493A6D">
    <w:pPr>
      <w:pStyle w:val="a4"/>
      <w:framePr w:wrap="around" w:vAnchor="text" w:hAnchor="margin" w:xAlign="right" w:y="1"/>
      <w:rPr>
        <w:rStyle w:val="a5"/>
      </w:rPr>
    </w:pPr>
    <w:r>
      <w:rPr>
        <w:rStyle w:val="a5"/>
        <w:rtl/>
      </w:rPr>
      <w:fldChar w:fldCharType="begin"/>
    </w:r>
    <w:r>
      <w:rPr>
        <w:rStyle w:val="a5"/>
      </w:rPr>
      <w:instrText xml:space="preserve">PAGE  </w:instrText>
    </w:r>
    <w:r>
      <w:rPr>
        <w:rStyle w:val="a5"/>
        <w:rtl/>
      </w:rPr>
      <w:fldChar w:fldCharType="end"/>
    </w:r>
  </w:p>
  <w:p w:rsidR="006A47FE" w:rsidRDefault="006A47FE" w:rsidP="001774FB">
    <w:pPr>
      <w:pStyle w:val="a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7FE" w:rsidRDefault="006A47FE" w:rsidP="00493A6D">
    <w:pPr>
      <w:pStyle w:val="a4"/>
      <w:framePr w:wrap="around" w:vAnchor="text" w:hAnchor="margin" w:xAlign="right" w:y="1"/>
      <w:rPr>
        <w:rStyle w:val="a5"/>
      </w:rPr>
    </w:pPr>
    <w:r>
      <w:rPr>
        <w:rStyle w:val="a5"/>
        <w:rtl/>
      </w:rPr>
      <w:fldChar w:fldCharType="begin"/>
    </w:r>
    <w:r>
      <w:rPr>
        <w:rStyle w:val="a5"/>
      </w:rPr>
      <w:instrText xml:space="preserve">PAGE  </w:instrText>
    </w:r>
    <w:r>
      <w:rPr>
        <w:rStyle w:val="a5"/>
        <w:rtl/>
      </w:rPr>
      <w:fldChar w:fldCharType="separate"/>
    </w:r>
    <w:r w:rsidR="0066475C">
      <w:rPr>
        <w:rStyle w:val="a5"/>
        <w:noProof/>
        <w:rtl/>
      </w:rPr>
      <w:t>6</w:t>
    </w:r>
    <w:r>
      <w:rPr>
        <w:rStyle w:val="a5"/>
        <w:rtl/>
      </w:rPr>
      <w:fldChar w:fldCharType="end"/>
    </w:r>
  </w:p>
  <w:p w:rsidR="006A47FE" w:rsidRDefault="006A47FE" w:rsidP="001774FB">
    <w:pPr>
      <w:pStyle w:val="a4"/>
      <w:bidi w:val="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7FE" w:rsidRDefault="006A47F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450E" w:rsidRDefault="00E9450E">
      <w:r>
        <w:separator/>
      </w:r>
    </w:p>
  </w:footnote>
  <w:footnote w:type="continuationSeparator" w:id="0">
    <w:p w:rsidR="00E9450E" w:rsidRDefault="00E945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7FE" w:rsidRDefault="006A47F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7FE" w:rsidRDefault="006A47FE">
    <w:pPr>
      <w:pStyle w:val="a3"/>
      <w:framePr w:wrap="auto" w:vAnchor="text" w:hAnchor="margin" w:xAlign="center" w:y="1"/>
      <w:rPr>
        <w:rStyle w:val="a5"/>
        <w:rtl/>
      </w:rPr>
    </w:pPr>
    <w:r>
      <w:rPr>
        <w:rStyle w:val="a5"/>
      </w:rPr>
      <w:fldChar w:fldCharType="begin"/>
    </w:r>
    <w:r>
      <w:rPr>
        <w:rStyle w:val="a5"/>
      </w:rPr>
      <w:instrText xml:space="preserve">PAGE  </w:instrText>
    </w:r>
    <w:r>
      <w:rPr>
        <w:rStyle w:val="a5"/>
      </w:rPr>
      <w:fldChar w:fldCharType="separate"/>
    </w:r>
    <w:r w:rsidR="0066475C">
      <w:rPr>
        <w:rStyle w:val="a5"/>
        <w:noProof/>
        <w:rtl/>
      </w:rPr>
      <w:t>6</w:t>
    </w:r>
    <w:r>
      <w:rPr>
        <w:rStyle w:val="a5"/>
      </w:rPr>
      <w:fldChar w:fldCharType="end"/>
    </w:r>
  </w:p>
  <w:tbl>
    <w:tblPr>
      <w:bidiVisual/>
      <w:tblW w:w="0" w:type="auto"/>
      <w:tblLook w:val="0000" w:firstRow="0" w:lastRow="0" w:firstColumn="0" w:lastColumn="0" w:noHBand="0" w:noVBand="0"/>
    </w:tblPr>
    <w:tblGrid>
      <w:gridCol w:w="9631"/>
    </w:tblGrid>
    <w:tr w:rsidR="006A47FE">
      <w:tc>
        <w:tcPr>
          <w:tcW w:w="9855" w:type="dxa"/>
        </w:tcPr>
        <w:p w:rsidR="006A47FE" w:rsidRDefault="006A47FE">
          <w:pPr>
            <w:pStyle w:val="a3"/>
            <w:jc w:val="right"/>
          </w:pPr>
        </w:p>
      </w:tc>
    </w:tr>
  </w:tbl>
  <w:p w:rsidR="006A47FE" w:rsidRDefault="006A47FE">
    <w:pPr>
      <w:pStyle w:val="a3"/>
      <w:jc w:val="right"/>
      <w:rPr>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47FE" w:rsidRDefault="006A47F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161"/>
    <w:rsid w:val="00015E8E"/>
    <w:rsid w:val="000212E6"/>
    <w:rsid w:val="000640E9"/>
    <w:rsid w:val="00091D34"/>
    <w:rsid w:val="000C0EFB"/>
    <w:rsid w:val="000F63A5"/>
    <w:rsid w:val="001154B4"/>
    <w:rsid w:val="001341EE"/>
    <w:rsid w:val="001567D3"/>
    <w:rsid w:val="00174050"/>
    <w:rsid w:val="001774FB"/>
    <w:rsid w:val="00195170"/>
    <w:rsid w:val="001B27B5"/>
    <w:rsid w:val="001B4ECA"/>
    <w:rsid w:val="001E42CE"/>
    <w:rsid w:val="00206EB1"/>
    <w:rsid w:val="0025205F"/>
    <w:rsid w:val="00292350"/>
    <w:rsid w:val="002C4A91"/>
    <w:rsid w:val="003173F1"/>
    <w:rsid w:val="0031791C"/>
    <w:rsid w:val="00322029"/>
    <w:rsid w:val="00336BC1"/>
    <w:rsid w:val="003A46E1"/>
    <w:rsid w:val="00406E4D"/>
    <w:rsid w:val="004359F5"/>
    <w:rsid w:val="004535D0"/>
    <w:rsid w:val="00454C16"/>
    <w:rsid w:val="00493A6D"/>
    <w:rsid w:val="004A7B6F"/>
    <w:rsid w:val="004B15FC"/>
    <w:rsid w:val="00517365"/>
    <w:rsid w:val="00521978"/>
    <w:rsid w:val="005358E3"/>
    <w:rsid w:val="005A1B11"/>
    <w:rsid w:val="005E3292"/>
    <w:rsid w:val="006525F7"/>
    <w:rsid w:val="0066475C"/>
    <w:rsid w:val="0067056B"/>
    <w:rsid w:val="00690113"/>
    <w:rsid w:val="006A47FE"/>
    <w:rsid w:val="006B7279"/>
    <w:rsid w:val="006E753E"/>
    <w:rsid w:val="007C5B78"/>
    <w:rsid w:val="007E166C"/>
    <w:rsid w:val="007F4D5A"/>
    <w:rsid w:val="00814DBB"/>
    <w:rsid w:val="00821C31"/>
    <w:rsid w:val="00852C9F"/>
    <w:rsid w:val="0086313E"/>
    <w:rsid w:val="008834F1"/>
    <w:rsid w:val="008A1444"/>
    <w:rsid w:val="00910161"/>
    <w:rsid w:val="009123CF"/>
    <w:rsid w:val="009151E4"/>
    <w:rsid w:val="009220E7"/>
    <w:rsid w:val="009672EA"/>
    <w:rsid w:val="00A15624"/>
    <w:rsid w:val="00A270E6"/>
    <w:rsid w:val="00A56066"/>
    <w:rsid w:val="00A81F6B"/>
    <w:rsid w:val="00A96C3B"/>
    <w:rsid w:val="00AC0EE3"/>
    <w:rsid w:val="00B1326A"/>
    <w:rsid w:val="00B93B9C"/>
    <w:rsid w:val="00BD2858"/>
    <w:rsid w:val="00C01E4F"/>
    <w:rsid w:val="00C03A5A"/>
    <w:rsid w:val="00C272E9"/>
    <w:rsid w:val="00C62E14"/>
    <w:rsid w:val="00CB6CAE"/>
    <w:rsid w:val="00CE1CB9"/>
    <w:rsid w:val="00D3373E"/>
    <w:rsid w:val="00D50BA9"/>
    <w:rsid w:val="00D6144E"/>
    <w:rsid w:val="00DC678B"/>
    <w:rsid w:val="00E42154"/>
    <w:rsid w:val="00E770C8"/>
    <w:rsid w:val="00E874EC"/>
    <w:rsid w:val="00E9450E"/>
    <w:rsid w:val="00EA0342"/>
    <w:rsid w:val="00EA1421"/>
    <w:rsid w:val="00EF527D"/>
    <w:rsid w:val="00F638DB"/>
    <w:rsid w:val="00F94CFD"/>
    <w:rsid w:val="00F96312"/>
    <w:rsid w:val="00FA71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F32543-BD18-FE4D-8F99-1E804C441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bidi/>
      <w:adjustRightInd w:val="0"/>
    </w:pPr>
    <w:rPr>
      <w:rFonts w:cs="David"/>
      <w:szCs w:val="24"/>
    </w:rPr>
  </w:style>
  <w:style w:type="paragraph" w:styleId="1">
    <w:name w:val="heading 1"/>
    <w:basedOn w:val="a"/>
    <w:next w:val="a"/>
    <w:qFormat/>
    <w:rsid w:val="00910161"/>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ñâðåï2"/>
    <w:basedOn w:val="a"/>
  </w:style>
  <w:style w:type="paragraph" w:customStyle="1" w:styleId="14">
    <w:name w:val="14"/>
    <w:basedOn w:val="a"/>
    <w:pPr>
      <w:framePr w:hSpace="181" w:vSpace="181" w:wrap="auto" w:vAnchor="text" w:hAnchor="text" w:y="1"/>
      <w:ind w:left="1701" w:right="1985" w:hanging="567"/>
    </w:pPr>
    <w:rPr>
      <w:szCs w:val="16"/>
    </w:rPr>
  </w:style>
  <w:style w:type="paragraph" w:customStyle="1" w:styleId="10">
    <w:name w:val="ñâðåï1"/>
    <w:basedOn w:val="a"/>
  </w:style>
  <w:style w:type="paragraph" w:customStyle="1" w:styleId="3">
    <w:name w:val="ñâðåï3"/>
    <w:basedOn w:val="a"/>
    <w:next w:val="TOC7"/>
    <w:rPr>
      <w:rFonts w:ascii="Courier New" w:hAnsi="Courier New" w:cs="Courier New"/>
      <w:i/>
      <w:color w:val="800000"/>
      <w:sz w:val="40"/>
      <w:u w:val="words"/>
    </w:rPr>
  </w:style>
  <w:style w:type="paragraph" w:styleId="TOC7">
    <w:name w:val="toc 7"/>
    <w:basedOn w:val="a"/>
    <w:next w:val="a"/>
    <w:autoRedefine/>
    <w:semiHidden/>
    <w:pPr>
      <w:tabs>
        <w:tab w:val="right" w:leader="dot" w:pos="8306"/>
      </w:tabs>
      <w:ind w:right="1200"/>
    </w:p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rPr>
      <w:rFonts w:cs="Miriam"/>
    </w:rPr>
  </w:style>
  <w:style w:type="paragraph" w:customStyle="1" w:styleId="ProtocolTitle">
    <w:name w:val="Protocol Title"/>
    <w:basedOn w:val="a"/>
    <w:rPr>
      <w:b/>
      <w:bCs/>
      <w:u w:val="single"/>
    </w:rPr>
  </w:style>
  <w:style w:type="paragraph" w:customStyle="1" w:styleId="Casenameintextbody">
    <w:name w:val="Case name in text body"/>
    <w:basedOn w:val="a"/>
    <w:pPr>
      <w:jc w:val="right"/>
    </w:pPr>
    <w:rPr>
      <w:b/>
      <w:bCs/>
      <w:u w:val="single"/>
    </w:rPr>
  </w:style>
  <w:style w:type="paragraph" w:customStyle="1" w:styleId="precasestyle">
    <w:name w:val="pre_case style"/>
    <w:basedOn w:val="a"/>
    <w:pPr>
      <w:tabs>
        <w:tab w:val="left" w:pos="2552"/>
      </w:tabs>
      <w:ind w:right="2549"/>
    </w:pPr>
  </w:style>
  <w:style w:type="character" w:styleId="a6">
    <w:name w:val="line number"/>
    <w:basedOn w:val="a0"/>
    <w:rsid w:val="00292350"/>
  </w:style>
  <w:style w:type="paragraph" w:customStyle="1" w:styleId="ruller3">
    <w:name w:val="ruller 3"/>
    <w:basedOn w:val="Casenameintextbody"/>
    <w:pPr>
      <w:jc w:val="left"/>
    </w:pPr>
    <w:rPr>
      <w:b w:val="0"/>
      <w:bCs w:val="0"/>
      <w:sz w:val="22"/>
      <w:u w:val="none"/>
    </w:rPr>
  </w:style>
  <w:style w:type="paragraph" w:customStyle="1" w:styleId="BODYPROTOCOL">
    <w:name w:val="BODY PROTOCOL"/>
    <w:basedOn w:val="a"/>
    <w:rsid w:val="00910161"/>
    <w:pPr>
      <w:tabs>
        <w:tab w:val="left" w:pos="2552"/>
      </w:tabs>
      <w:spacing w:line="360" w:lineRule="auto"/>
      <w:jc w:val="both"/>
    </w:pPr>
    <w:rPr>
      <w:rFonts w:cs="FrankRuehl"/>
      <w:spacing w:val="10"/>
      <w:sz w:val="22"/>
      <w:szCs w:val="28"/>
    </w:rPr>
  </w:style>
  <w:style w:type="paragraph" w:customStyle="1" w:styleId="ruller40">
    <w:name w:val="ruller40"/>
    <w:basedOn w:val="a"/>
    <w:rsid w:val="00F638DB"/>
    <w:pPr>
      <w:overflowPunct w:val="0"/>
      <w:adjustRightInd/>
      <w:spacing w:line="360" w:lineRule="auto"/>
      <w:jc w:val="both"/>
    </w:pPr>
    <w:rPr>
      <w:rFonts w:ascii="Arial TUR" w:hAnsi="Arial TUR" w:cs="Arial TUR"/>
      <w:spacing w:val="10"/>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396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3D9CD-A5C5-4F5E-A591-4061C48B3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1414</Words>
  <Characters>8066</Characters>
  <Application>Microsoft Office Word</Application>
  <DocSecurity>0</DocSecurity>
  <Lines>67</Lines>
  <Paragraphs>18</Paragraphs>
  <ScaleCrop>false</ScaleCrop>
  <HeadingPairs>
    <vt:vector size="2" baseType="variant">
      <vt:variant>
        <vt:lpstr>שם</vt:lpstr>
      </vt:variant>
      <vt:variant>
        <vt:i4>1</vt:i4>
      </vt:variant>
    </vt:vector>
  </HeadingPairs>
  <TitlesOfParts>
    <vt:vector size="1" baseType="lpstr">
      <vt:lpstr>ááéú äîùôè äòìéåï áéøåùìéí</vt:lpstr>
    </vt:vector>
  </TitlesOfParts>
  <Company>âåîà ùøåúé îùøã åîòøëåú 1989</Company>
  <LinksUpToDate>false</LinksUpToDate>
  <CharactersWithSpaces>9462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ááéú äîùôè äòìéåï áéøåùìéí</dc:title>
  <dc:subject/>
  <dc:creator>Administrator</dc:creator>
  <cp:keywords/>
  <dc:description/>
  <cp:lastModifiedBy>Dan Yakir</cp:lastModifiedBy>
  <cp:revision>2</cp:revision>
  <cp:lastPrinted>1899-12-31T22:00:00Z</cp:lastPrinted>
  <dcterms:created xsi:type="dcterms:W3CDTF">2020-11-30T13:51:00Z</dcterms:created>
  <dcterms:modified xsi:type="dcterms:W3CDTF">2020-11-30T13:51:00Z</dcterms:modified>
</cp:coreProperties>
</file>